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1556F8" w:rsidP="00743907">
      <w:pPr>
        <w:pStyle w:val="DateCP"/>
      </w:pPr>
      <w:r>
        <w:t xml:space="preserve">Dijon, le </w:t>
      </w:r>
      <w:r w:rsidR="0080396E">
        <w:t>29</w:t>
      </w:r>
      <w:r w:rsidR="003D548E">
        <w:t xml:space="preserve"> avril</w:t>
      </w:r>
      <w:r w:rsidR="00743907">
        <w:t xml:space="preserve"> 2022</w:t>
      </w:r>
    </w:p>
    <w:p w:rsidR="005F482C" w:rsidRDefault="005F482C" w:rsidP="00743907">
      <w:pPr>
        <w:pStyle w:val="TITRE20"/>
      </w:pPr>
    </w:p>
    <w:p w:rsidR="00743907" w:rsidRDefault="00743907" w:rsidP="00743907">
      <w:pPr>
        <w:pStyle w:val="TITRE20"/>
      </w:pPr>
      <w:r>
        <w:t>COVID-19 EN BOURGOGNE</w:t>
      </w:r>
      <w:r w:rsidR="0080396E">
        <w:t>-</w:t>
      </w:r>
      <w:r w:rsidRPr="00743907">
        <w:t>FRANCHE</w:t>
      </w:r>
      <w:r>
        <w:t>-COMTE</w:t>
      </w:r>
      <w:r w:rsidR="00E278BA">
        <w:rPr>
          <w:rFonts w:ascii="Calibri" w:hAnsi="Calibri" w:cs="Calibri"/>
        </w:rPr>
        <w:t> </w:t>
      </w:r>
    </w:p>
    <w:p w:rsidR="00980135" w:rsidRDefault="002B273A" w:rsidP="00ED644E">
      <w:pPr>
        <w:pStyle w:val="Chap"/>
        <w:jc w:val="both"/>
        <w:rPr>
          <w:b w:val="0"/>
          <w:sz w:val="28"/>
        </w:rPr>
      </w:pPr>
      <w:r>
        <w:rPr>
          <w:b w:val="0"/>
          <w:sz w:val="28"/>
        </w:rPr>
        <w:t>La lente décrue se poursuit</w:t>
      </w:r>
      <w:r>
        <w:rPr>
          <w:rFonts w:ascii="Calibri" w:hAnsi="Calibri" w:cs="Calibri"/>
          <w:b w:val="0"/>
          <w:sz w:val="28"/>
        </w:rPr>
        <w:t> </w:t>
      </w:r>
      <w:r>
        <w:rPr>
          <w:b w:val="0"/>
          <w:sz w:val="28"/>
        </w:rPr>
        <w:t xml:space="preserve">: </w:t>
      </w:r>
      <w:r w:rsidR="002E02F2">
        <w:rPr>
          <w:b w:val="0"/>
          <w:sz w:val="28"/>
        </w:rPr>
        <w:t>Se mobiliser encore pour stopper le virus</w:t>
      </w:r>
    </w:p>
    <w:p w:rsidR="005F482C" w:rsidRDefault="005F482C" w:rsidP="00ED644E">
      <w:pPr>
        <w:pStyle w:val="Chap"/>
        <w:jc w:val="both"/>
        <w:rPr>
          <w:b w:val="0"/>
          <w:sz w:val="28"/>
        </w:rPr>
      </w:pPr>
    </w:p>
    <w:p w:rsidR="002E02F2" w:rsidRPr="00CF7EC3" w:rsidRDefault="002E02F2" w:rsidP="003457E4">
      <w:pPr>
        <w:pStyle w:val="Corps"/>
        <w:jc w:val="both"/>
        <w:rPr>
          <w:b/>
          <w:szCs w:val="20"/>
        </w:rPr>
      </w:pPr>
      <w:r w:rsidRPr="00CF7EC3">
        <w:rPr>
          <w:b/>
          <w:szCs w:val="20"/>
        </w:rPr>
        <w:t>La circulation du virus poursuit le lent repli entamé la semaine dernière</w:t>
      </w:r>
      <w:r w:rsidR="002B273A" w:rsidRPr="00CF7EC3">
        <w:rPr>
          <w:b/>
          <w:szCs w:val="20"/>
        </w:rPr>
        <w:t xml:space="preserve"> en Bourgogne-Franche-Comté,</w:t>
      </w:r>
      <w:r w:rsidRPr="00CF7EC3">
        <w:rPr>
          <w:b/>
          <w:szCs w:val="20"/>
        </w:rPr>
        <w:t xml:space="preserve"> mais reste à </w:t>
      </w:r>
      <w:r w:rsidR="002B273A" w:rsidRPr="00CF7EC3">
        <w:rPr>
          <w:b/>
          <w:szCs w:val="20"/>
        </w:rPr>
        <w:t>un niveau élevé</w:t>
      </w:r>
      <w:r w:rsidRPr="00CF7EC3">
        <w:rPr>
          <w:b/>
          <w:szCs w:val="20"/>
        </w:rPr>
        <w:t xml:space="preserve"> exigeant le maintien de notre vigilance individuelle et collective.</w:t>
      </w:r>
      <w:r w:rsidR="00C05FF8" w:rsidRPr="00CF7EC3">
        <w:rPr>
          <w:b/>
          <w:szCs w:val="20"/>
        </w:rPr>
        <w:t xml:space="preserve"> </w:t>
      </w:r>
      <w:r w:rsidR="00CF7EC3">
        <w:rPr>
          <w:b/>
          <w:szCs w:val="20"/>
        </w:rPr>
        <w:t>Une forte pression continue de peser</w:t>
      </w:r>
      <w:r w:rsidR="00C05FF8" w:rsidRPr="00CF7EC3">
        <w:rPr>
          <w:b/>
          <w:szCs w:val="20"/>
        </w:rPr>
        <w:t xml:space="preserve"> sur les hôpitaux du fait notamment de la concomitance de l’épidémie de COVID-19 avec d’autres virus saisonniers.</w:t>
      </w:r>
    </w:p>
    <w:p w:rsidR="0080396E" w:rsidRPr="002E02F2" w:rsidRDefault="0080396E" w:rsidP="003457E4">
      <w:pPr>
        <w:pStyle w:val="Corps"/>
        <w:jc w:val="both"/>
        <w:rPr>
          <w:b/>
          <w:szCs w:val="20"/>
        </w:rPr>
      </w:pPr>
    </w:p>
    <w:p w:rsidR="0080396E" w:rsidRPr="00162808" w:rsidRDefault="0080396E" w:rsidP="003457E4">
      <w:pPr>
        <w:pStyle w:val="Corps"/>
        <w:jc w:val="both"/>
        <w:rPr>
          <w:rFonts w:cs="Calibri"/>
        </w:rPr>
      </w:pPr>
      <w:r w:rsidRPr="00162808">
        <w:t>Le recul de l’épidémie amorcé la semaine dernière s’est poursuivi ces 7 derniers jours en Bourgogne-Franche-Comté</w:t>
      </w:r>
      <w:r w:rsidR="00162808">
        <w:t>,</w:t>
      </w:r>
      <w:r w:rsidRPr="00162808">
        <w:rPr>
          <w:rFonts w:cs="Calibri"/>
        </w:rPr>
        <w:t xml:space="preserve"> où le taux d’incidence en population générale est enfin passé en-dessous du millier de cas pour 100</w:t>
      </w:r>
      <w:r w:rsidRPr="00162808">
        <w:rPr>
          <w:rFonts w:ascii="Calibri" w:hAnsi="Calibri" w:cs="Calibri"/>
        </w:rPr>
        <w:t> </w:t>
      </w:r>
      <w:r w:rsidRPr="00162808">
        <w:rPr>
          <w:rFonts w:cs="Calibri"/>
        </w:rPr>
        <w:t>000 habitants.</w:t>
      </w:r>
    </w:p>
    <w:p w:rsidR="0080396E" w:rsidRPr="00162808" w:rsidRDefault="0080396E" w:rsidP="003457E4">
      <w:pPr>
        <w:pStyle w:val="Corps"/>
        <w:jc w:val="both"/>
        <w:rPr>
          <w:rFonts w:cs="Calibri"/>
        </w:rPr>
      </w:pPr>
      <w:r w:rsidRPr="00162808">
        <w:rPr>
          <w:rFonts w:cs="Calibri"/>
        </w:rPr>
        <w:t xml:space="preserve">Le niveau de circulation virale </w:t>
      </w:r>
      <w:r w:rsidR="005F482C">
        <w:rPr>
          <w:rFonts w:cs="Calibri"/>
        </w:rPr>
        <w:t>demeure</w:t>
      </w:r>
      <w:r w:rsidR="002E02F2" w:rsidRPr="00162808">
        <w:rPr>
          <w:rFonts w:cs="Calibri"/>
        </w:rPr>
        <w:t xml:space="preserve"> cependant élevé </w:t>
      </w:r>
      <w:r w:rsidRPr="00162808">
        <w:rPr>
          <w:rFonts w:cs="Calibri"/>
        </w:rPr>
        <w:t xml:space="preserve">dans l’ensemble des départements, </w:t>
      </w:r>
      <w:r w:rsidR="002E02F2" w:rsidRPr="00162808">
        <w:rPr>
          <w:rFonts w:cs="Calibri"/>
        </w:rPr>
        <w:t>où le taux de posit</w:t>
      </w:r>
      <w:r w:rsidR="006642D4">
        <w:rPr>
          <w:rFonts w:cs="Calibri"/>
        </w:rPr>
        <w:t xml:space="preserve">ivité des tests </w:t>
      </w:r>
      <w:r w:rsidR="002E02F2" w:rsidRPr="00162808">
        <w:rPr>
          <w:rFonts w:cs="Calibri"/>
        </w:rPr>
        <w:t>peine à décrocher.</w:t>
      </w:r>
    </w:p>
    <w:p w:rsidR="00CF7EC3" w:rsidRPr="00162808" w:rsidRDefault="00CF7EC3" w:rsidP="003457E4">
      <w:pPr>
        <w:pStyle w:val="Corps"/>
        <w:jc w:val="both"/>
        <w:rPr>
          <w:rFonts w:cs="Calibri"/>
        </w:rPr>
      </w:pPr>
    </w:p>
    <w:p w:rsidR="00CF7EC3" w:rsidRDefault="00CF7EC3" w:rsidP="00CF7EC3">
      <w:pPr>
        <w:jc w:val="center"/>
        <w:rPr>
          <w:rFonts w:ascii="Marianne" w:hAnsi="Marianne" w:cs="Arial"/>
          <w:sz w:val="20"/>
          <w:szCs w:val="20"/>
          <w:lang w:eastAsia="fr-FR"/>
        </w:rPr>
      </w:pPr>
      <w:r w:rsidRPr="005F482C">
        <w:rPr>
          <w:noProof/>
          <w:lang w:eastAsia="fr-FR"/>
        </w:rPr>
        <w:drawing>
          <wp:inline distT="0" distB="0" distL="0" distR="0" wp14:anchorId="78E058A3" wp14:editId="26232777">
            <wp:extent cx="5747134" cy="3744000"/>
            <wp:effectExtent l="0" t="0" r="6350" b="8890"/>
            <wp:docPr id="2" name="Image 2" descr="Département de Côte d'Or : &#10;Taux d'incidence pour 100 000 habitants du 19 au 25  avril 2022 : 1 071. Evolution sur une semaine : baisse.&#10;Taux d'incidence des plus de 65 ans pour 100 000 habitants du 19 au 25  avril 2022: 1 308. Evolution sur une semaine : baisse.&#10;Taux de positivité des tests du 19 au 25  avril 2022 : 36,5%. Evolution sur une semaine : augmentation.&#10;Nombre de personnes hospitalisées au 29 avril 2022 : 246. Evolution sur une semaine : baisse.&#10;Nombre de personnes hospitalisées motif principal Covid au 29 avril 2022 : 110. Evolution sur une semaine : baisse.&#10;Nombre de personnes hospitalisées en réanimation au 29 avril 2022 : 24. Evolution sur une semaine : augmentation.&#10;Nombre de personnes hospitalisées en réanimation motif principal Covid au 29 avril 2022 : 17. Evolution sur semaine : augmentation.&#10;&#10;Département du Doubs : &#10;Taux d'incidence pour 100 000 habitants du 19 au 25  avril 2022 : 855. Evolution sur une semaine : baisse.&#10;Taux d'incidence des plus de 65 ans pour 100 000 habitants du 19 au 25  avril 2022: 1 104. Evolution sur une semaine : baisse.&#10;Taux de positivité des tests du 19 au 25  avril 2022 : 32,9%. Evolution sur une semaine : stable.&#10;Nombre de personnes hospitalisées au 29 avril 2022 : 95. Evolution sur une semaine : baisse.&#10;Nombre de personnes hospitalisées motif principal Covid au 29 avril 2022 : 39. Evolution sur une semaine : augmentation.&#10;Nombre de personnes hospitalisées en réanimation au 29 avril 2022 : 23. Evolution sur une semaine : augmentation.&#10;Nombre de personnes hospitalisées en réanimation motif principal Covid au 29 avril 2022 : 7. Evolution sur semaine : stable.&#10;&#10;Département du Jura :&#10;Taux d'incidence pour 100 000 habitants du 19 au 25  avril 2022 : 1 116. Evolution sur une semaine : augmentation.&#10;Taux d'incidence des plus de 65 ans pour 100 000 habitants du 19 au 25  avril 2022: 1 466. Evolution sur une semaine : baisse.&#10;Taux de positivité des tests du 19 au 25  avril 2022 : 37,7%. Evolution sur une semaine : augmentation.&#10;Nombre de personnes hospitalisées au 29 avril 2022 : 100. Evolution sur une semaine : baisse.&#10;Nombre de personnes hospitalisées motif principal Covid au 29 avril 2022 : 43. Evolution sur une semaine : baisse.&#10;Nombre de personnes hospitalisées en réanimation au 29 avril 2022 : 5. Evolution sur une semaine : stable.&#10;Nombre de personnes hospitalisées en réanimation motif principal Covid au 29 avril 2022 : 3. Evolution sur semaine : baisse.&#10;&#10;Département de la Nièvre :&#10;Taux d'incidence pour 100 000 habitants du 19 au 25  avril 2022 : 973. Evolution sur une semaine : baisse.&#10;Taux d'incidence des plus de 65 ans pour 100 000 habitants du 19 au 25  avril 2022: 1 082. Evolution sur une semaine : baisse.&#10;Taux de positivité des tests du 19 au 25  avril 2022 : 40,9%. Evolution sur une semaine : baisse.&#10;Nombre de personnes hospitalisées au 29 avril 2022 : 69. Evolution sur une semaine : augmentation.&#10;Nombre de personnes hospitalisées motif principal Covid au 29 avril 2022 : 27. Evolution sur une semaine : baisse.&#10;Nombre de personnes hospitalisées en réanimation au 29 avril 2022 : 2. Evolution sur une semaine : augmentation.&#10;Nombre de personnes hospitalisées en réanimation motif principal Covid au 29 avril 2022 : 0. Evolution sur semaine : stable.&#10;&#10;Département de la Haute-Saône :&#10;Taux d'incidence pour 100 000 habitants du 19 au 25  avril 2022 : 985. Evolution sur une semaine : stable.&#10;Taux d'incidence des plus de 65 ans pour 100 000 habitants du 19 au 25  avril 2022: 1 061. Evolution sur une semaine : baisse.&#10;Taux de positivité des tests du 19 au 25  avril 2022 : 36,8%. Evolution sur une semaine : hausse.&#10;Nombre de personnes hospitalisées au 29 avril 2022 : 86. Evolution sur une semaine : baisse.&#10;Nombre de personnes hospitalisées motif principal Covid au 29 avril 2022 : 70. Evolution sur une semaine : baisse.&#10;Nombre de personnes hospitalisées en réanimation au 29 avril 2022 : 3. Evolution sur une semaine : stable.&#10;Nombre de personnes hospitalisées en réanimation motif principal Covid au 29 avril 2022 : 3. Evolution sur semaine : stable.&#10;&#10;Département de la Saône et Loire : &#10;Taux d'incidence pour 100 000 habitants du 19 au 25  avril 2022 : 1 021. Evolution sur une semaine : baisse.&#10;Taux d'incidence des plus de 65 ans pour 100 000 habitants du 19 au 25  avril 2022: 1 324. Evolution sur une semaine : baisse.&#10;Taux de positivité des tests du 19 au 25  avril 2022 : 39,3%. Evolution sur une semaine : stable.&#10;Nombre de personnes hospitalisées au 29 avril 2022 : 229. Evolution sur une semaine : baisse.&#10;Nombre de personnes hospitalisées motif principal Covid au 29 avril 2022 : 156. Evolution sur une semaine : hausse.&#10;Nombre de personnes hospitalisées en réanimation au 29 avril 2022 : 5. Evolution sur une semaine : baisse.&#10;Nombre de personnes hospitalisées en réanimation motif principal Covid au 29 avril 2022 : 4. Evolution sur semaine : stable.&#10;&#10;Département de l'Yonne :&#10;Taux d'incidence pour 100 000 habitants du 19 au 25  avril 2022 : 886. Evolution sur une semaine : baisse.&#10;Taux d'incidence des plus de 65 ans pour 100 000 habitants du 19 au 25  avril 2022: 883. Evolution sur une semaine : baisse.&#10;Taux de positivité des tests du 19 au 25  avril 2022 : 33,8%. Evolution sur une semaine : augmentation.&#10;Nombre de personnes hospitalisées au 29 avril 2022 : 159. Evolution sur une semaine : baisse.&#10;Nombre de personnes hospitalisées motif principal Covid au 29 avril 2022 : 78. Evolution sur une semaine : baisse.&#10;Nombre de personnes hospitalisées en réanimation au 29 avril 2022 : 9. Evolution sur une semaine : stable.&#10;Nombre de personnes hospitalisées en réanimation motif principal Covid au 29 avril 2022 : 8. Evolution sur semaine : augmentation.&#10;&#10;Département du Territoire de Belfort&#10;Taux d'incidence pour 100 000 habitants du 19 au 25  avril 2022 : 821. Evolution sur une semaine : baisse.&#10;Taux d'incidence des plus de 65 ans pour 100 000 habitants du 19 au 25  avril 2022: 964. Evolution sur une semaine : baisse.&#10;Taux de positivité des tests du 19 au 25  avril 2022 : 30,7%. Evolution sur une semaine : augmentation.&#10;Nombre de personnes hospitalisées au 29 avril 2022 : 93. Evolution sur une semaine : augmentation.&#10;Nombre de personnes hospitalisées motif principal Covid au 29 avril 2022 : 55. Evolution sur une semaine : baisse.&#10;Nombre de personnes hospitalisées en réanimation au 29 avril 2022 : 2. Evolution sur une semaine : augmentation.&#10;Nombre de personnes hospitalisées en réanimation motif principal Covid au 29 avril 2022 : 1. Evolution sur semaine : augmentation.&#10;&#10;Région Bourgogne-Franche-Comté :&#10;Taux d'incidence pour 100 000 habitants du 19 au 25  avril 2022 : 975. Evolution sur une semaine : baisse.&#10;Taux d'incidence des plus de 65 ans pour 100 000 habitants du 19 au 25  avril 2022: 1 182. Evolution sur une semaine : baisse.&#10;Taux de positivité des tests du 19 au 25  avril 2022 : 36,2%. Evolution sur une semaine : augmentation.&#10;Nombre de personnes hospitalisées au 29 avril 2022 : 1 077. Evolution sur une semaine : baisse.&#10;Nombre de personnes hospitalisées motif principal Covid au 29 avril 2022 : 578. Evolution sur une semaine : baisse.&#10;Nombre de personnes hospitalisées en réanimation au 29 avril 2022 : 73. Evolution sur une semaine : augmentation.&#10;Nombre de personnes hospitalisées en réanimation motif principal Covid au 29 avril 2022 : 43. Evolution sur semaine : augmentation.&#10;&#10;Seuil d'attention : incidence : 10 ; Incidence plus de 65 ans : 10 ; Taux de positivité : 5%&#10;Entre seuil d'attention et seuil d'alerte : incidence : entre 10 et 50; Incidence plus de 65 ans : entre 10 et 50; Taux de positivité : entre 5% et 10%.&#10;Seuil d'alerte : incidence : 50 ; Incidence plus de 65 ans : 50 ; Taux de positivité : 10%&#10;" title="Tableau des indic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34" cy="37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C3" w:rsidRDefault="00CF7EC3" w:rsidP="002E02F2">
      <w:pPr>
        <w:jc w:val="both"/>
        <w:rPr>
          <w:rFonts w:ascii="Marianne" w:hAnsi="Marianne" w:cs="Arial"/>
          <w:sz w:val="20"/>
          <w:szCs w:val="20"/>
          <w:lang w:eastAsia="fr-FR"/>
        </w:rPr>
      </w:pPr>
    </w:p>
    <w:p w:rsidR="00CF7EC3" w:rsidRDefault="003608BC" w:rsidP="00CF7EC3">
      <w:pPr>
        <w:jc w:val="both"/>
        <w:rPr>
          <w:rFonts w:ascii="Marianne" w:hAnsi="Marianne" w:cs="Arial"/>
          <w:sz w:val="20"/>
          <w:szCs w:val="20"/>
          <w:lang w:eastAsia="fr-FR"/>
        </w:rPr>
      </w:pPr>
      <w:r w:rsidRPr="00643E2E">
        <w:rPr>
          <w:rFonts w:ascii="Marianne" w:hAnsi="Marianne" w:cs="Calibri"/>
          <w:sz w:val="20"/>
          <w:szCs w:val="20"/>
        </w:rPr>
        <w:lastRenderedPageBreak/>
        <w:t>Concernant le dépistage</w:t>
      </w:r>
      <w:r w:rsidR="00CF7EC3" w:rsidRPr="00643E2E">
        <w:rPr>
          <w:rFonts w:ascii="Marianne" w:hAnsi="Marianne" w:cs="Calibri"/>
          <w:sz w:val="20"/>
          <w:szCs w:val="20"/>
        </w:rPr>
        <w:t xml:space="preserve">, l’ARS rappelle que </w:t>
      </w:r>
      <w:r w:rsidR="00CF7EC3" w:rsidRPr="00643E2E">
        <w:rPr>
          <w:rFonts w:ascii="Marianne" w:hAnsi="Marianne" w:cs="Arial"/>
          <w:b/>
          <w:bCs/>
          <w:sz w:val="20"/>
          <w:szCs w:val="20"/>
          <w:lang w:eastAsia="fr-FR"/>
        </w:rPr>
        <w:t>tout résultat positif de test antigénique ou d’autotest doit nécessairement êtr</w:t>
      </w:r>
      <w:bookmarkStart w:id="0" w:name="_GoBack"/>
      <w:bookmarkEnd w:id="0"/>
      <w:r w:rsidR="00CF7EC3" w:rsidRPr="00643E2E">
        <w:rPr>
          <w:rFonts w:ascii="Marianne" w:hAnsi="Marianne" w:cs="Arial"/>
          <w:b/>
          <w:bCs/>
          <w:sz w:val="20"/>
          <w:szCs w:val="20"/>
          <w:lang w:eastAsia="fr-FR"/>
        </w:rPr>
        <w:t>e</w:t>
      </w:r>
      <w:r w:rsidR="00CF7EC3" w:rsidRPr="00CF7EC3">
        <w:rPr>
          <w:rFonts w:ascii="Marianne" w:hAnsi="Marianne" w:cs="Arial"/>
          <w:b/>
          <w:bCs/>
          <w:sz w:val="20"/>
          <w:szCs w:val="20"/>
          <w:lang w:eastAsia="fr-FR"/>
        </w:rPr>
        <w:t xml:space="preserve"> confirmé par un test RT-PCR en laboratoire</w:t>
      </w:r>
      <w:r w:rsidR="00CF7EC3" w:rsidRPr="00CF7EC3">
        <w:rPr>
          <w:rFonts w:ascii="Marianne" w:hAnsi="Marianne" w:cs="Arial"/>
          <w:sz w:val="20"/>
          <w:szCs w:val="20"/>
          <w:lang w:eastAsia="fr-FR"/>
        </w:rPr>
        <w:t>. Ce</w:t>
      </w:r>
      <w:r w:rsidR="00CF7EC3">
        <w:rPr>
          <w:rFonts w:ascii="Marianne" w:hAnsi="Marianne" w:cs="Arial"/>
          <w:sz w:val="20"/>
          <w:szCs w:val="20"/>
          <w:lang w:eastAsia="fr-FR"/>
        </w:rPr>
        <w:t xml:space="preserve"> test contribue</w:t>
      </w:r>
      <w:r w:rsidR="00CF7EC3" w:rsidRPr="00CF7EC3">
        <w:rPr>
          <w:rFonts w:ascii="Marianne" w:hAnsi="Marianne" w:cs="Arial"/>
          <w:sz w:val="20"/>
          <w:szCs w:val="20"/>
          <w:lang w:eastAsia="fr-FR"/>
        </w:rPr>
        <w:t xml:space="preserve"> à la surveillance nationale et internationale des </w:t>
      </w:r>
      <w:proofErr w:type="spellStart"/>
      <w:r w:rsidR="00CF7EC3" w:rsidRPr="00CF7EC3">
        <w:rPr>
          <w:rFonts w:ascii="Marianne" w:hAnsi="Marianne" w:cs="Arial"/>
          <w:sz w:val="20"/>
          <w:szCs w:val="20"/>
          <w:lang w:eastAsia="fr-FR"/>
        </w:rPr>
        <w:t>variants</w:t>
      </w:r>
      <w:proofErr w:type="spellEnd"/>
      <w:r w:rsidR="00CF7EC3" w:rsidRPr="00CF7EC3">
        <w:rPr>
          <w:rFonts w:ascii="Marianne" w:hAnsi="Marianne" w:cs="Arial"/>
          <w:sz w:val="20"/>
          <w:szCs w:val="20"/>
          <w:lang w:eastAsia="fr-FR"/>
        </w:rPr>
        <w:t xml:space="preserve"> circulants sur notre territoire et </w:t>
      </w:r>
      <w:r w:rsidR="00CF7EC3">
        <w:rPr>
          <w:rFonts w:ascii="Marianne" w:hAnsi="Marianne" w:cs="Arial"/>
          <w:sz w:val="20"/>
          <w:szCs w:val="20"/>
          <w:lang w:eastAsia="fr-FR"/>
        </w:rPr>
        <w:t xml:space="preserve">permet </w:t>
      </w:r>
      <w:r w:rsidR="00CF7EC3" w:rsidRPr="00CF7EC3">
        <w:rPr>
          <w:rFonts w:ascii="Marianne" w:hAnsi="Marianne" w:cs="Arial"/>
          <w:sz w:val="20"/>
          <w:szCs w:val="20"/>
          <w:lang w:eastAsia="fr-FR"/>
        </w:rPr>
        <w:t xml:space="preserve">de détecter précocement l’arrivée de nouveaux </w:t>
      </w:r>
      <w:proofErr w:type="spellStart"/>
      <w:r w:rsidR="00CF7EC3" w:rsidRPr="00CF7EC3">
        <w:rPr>
          <w:rFonts w:ascii="Marianne" w:hAnsi="Marianne" w:cs="Arial"/>
          <w:sz w:val="20"/>
          <w:szCs w:val="20"/>
          <w:lang w:eastAsia="fr-FR"/>
        </w:rPr>
        <w:t>variants</w:t>
      </w:r>
      <w:proofErr w:type="spellEnd"/>
      <w:r w:rsidR="00CF7EC3" w:rsidRPr="00CF7EC3">
        <w:rPr>
          <w:rFonts w:ascii="Marianne" w:hAnsi="Marianne" w:cs="Arial"/>
          <w:sz w:val="20"/>
          <w:szCs w:val="20"/>
          <w:lang w:eastAsia="fr-FR"/>
        </w:rPr>
        <w:t xml:space="preserve">. Dans l‘attente de </w:t>
      </w:r>
      <w:r w:rsidR="00CF7EC3">
        <w:rPr>
          <w:rFonts w:ascii="Marianne" w:hAnsi="Marianne" w:cs="Arial"/>
          <w:sz w:val="20"/>
          <w:szCs w:val="20"/>
          <w:lang w:eastAsia="fr-FR"/>
        </w:rPr>
        <w:t>cette confirmation, la personne</w:t>
      </w:r>
      <w:r w:rsidR="00CF7EC3" w:rsidRPr="00CF7EC3">
        <w:rPr>
          <w:rFonts w:ascii="Marianne" w:hAnsi="Marianne" w:cs="Arial"/>
          <w:sz w:val="20"/>
          <w:szCs w:val="20"/>
          <w:lang w:eastAsia="fr-FR"/>
        </w:rPr>
        <w:t xml:space="preserve"> est considérée comme cas positif et entame une période d’isolement indispensable pour casser les chaînes de transmission.</w:t>
      </w:r>
      <w:r w:rsidR="00CF7EC3">
        <w:rPr>
          <w:rFonts w:ascii="Marianne" w:hAnsi="Marianne" w:cs="Arial"/>
          <w:sz w:val="20"/>
          <w:szCs w:val="20"/>
          <w:lang w:eastAsia="fr-FR"/>
        </w:rPr>
        <w:t xml:space="preserve"> </w:t>
      </w:r>
    </w:p>
    <w:p w:rsidR="005F482C" w:rsidRPr="00CF7EC3" w:rsidRDefault="005F482C" w:rsidP="002E02F2">
      <w:pPr>
        <w:jc w:val="both"/>
        <w:rPr>
          <w:rFonts w:ascii="Marianne" w:hAnsi="Marianne" w:cs="Arial"/>
          <w:sz w:val="20"/>
          <w:szCs w:val="20"/>
          <w:lang w:eastAsia="fr-FR"/>
        </w:rPr>
      </w:pPr>
      <w:r>
        <w:rPr>
          <w:rFonts w:ascii="Marianne" w:hAnsi="Marianne" w:cs="Arial"/>
          <w:sz w:val="20"/>
          <w:szCs w:val="20"/>
          <w:lang w:eastAsia="fr-FR"/>
        </w:rPr>
        <w:t>L’activité des hôpitaux garde un rythme très soutenu, qui maintient la pression sur les équipes</w:t>
      </w:r>
      <w:r w:rsidR="00C05FF8">
        <w:rPr>
          <w:rFonts w:ascii="Marianne" w:hAnsi="Marianne" w:cs="Arial"/>
          <w:sz w:val="20"/>
          <w:szCs w:val="20"/>
          <w:lang w:eastAsia="fr-FR"/>
        </w:rPr>
        <w:t xml:space="preserve"> </w:t>
      </w:r>
      <w:r w:rsidR="00C05FF8" w:rsidRPr="00CF7EC3">
        <w:rPr>
          <w:rFonts w:ascii="Marianne" w:hAnsi="Marianne" w:cs="Arial"/>
          <w:sz w:val="20"/>
          <w:szCs w:val="20"/>
          <w:lang w:eastAsia="fr-FR"/>
        </w:rPr>
        <w:t xml:space="preserve">par ailleurs </w:t>
      </w:r>
      <w:r w:rsidR="00CF7EC3">
        <w:rPr>
          <w:rFonts w:ascii="Marianne" w:hAnsi="Marianne" w:cs="Arial"/>
          <w:sz w:val="20"/>
          <w:szCs w:val="20"/>
          <w:lang w:eastAsia="fr-FR"/>
        </w:rPr>
        <w:t xml:space="preserve">toujours </w:t>
      </w:r>
      <w:r w:rsidR="00C05FF8" w:rsidRPr="00CF7EC3">
        <w:rPr>
          <w:rFonts w:ascii="Marianne" w:hAnsi="Marianne" w:cs="Arial"/>
          <w:sz w:val="20"/>
          <w:szCs w:val="20"/>
          <w:lang w:eastAsia="fr-FR"/>
        </w:rPr>
        <w:t>mobilisées par les autres virus saisonniers</w:t>
      </w:r>
      <w:r w:rsidRPr="00CF7EC3">
        <w:rPr>
          <w:rFonts w:ascii="Marianne" w:hAnsi="Marianne" w:cs="Arial"/>
          <w:sz w:val="20"/>
          <w:szCs w:val="20"/>
          <w:lang w:eastAsia="fr-FR"/>
        </w:rPr>
        <w:t>.</w:t>
      </w:r>
    </w:p>
    <w:p w:rsidR="005F482C" w:rsidRPr="00CF7EC3" w:rsidRDefault="005F482C" w:rsidP="005F482C">
      <w:pPr>
        <w:pStyle w:val="Corps"/>
        <w:jc w:val="both"/>
      </w:pPr>
    </w:p>
    <w:p w:rsidR="005F482C" w:rsidRPr="00D22CED" w:rsidRDefault="005F482C" w:rsidP="005F482C">
      <w:pPr>
        <w:pStyle w:val="Corps"/>
        <w:jc w:val="both"/>
        <w:rPr>
          <w:b/>
        </w:rPr>
      </w:pPr>
      <w:r w:rsidRPr="00D22CED">
        <w:rPr>
          <w:b/>
        </w:rPr>
        <w:t>Deuxième rappel</w:t>
      </w:r>
    </w:p>
    <w:p w:rsidR="005F482C" w:rsidRPr="00D22CED" w:rsidRDefault="005F482C" w:rsidP="005F482C">
      <w:pPr>
        <w:pStyle w:val="Corps"/>
        <w:jc w:val="both"/>
        <w:rPr>
          <w:b/>
        </w:rPr>
      </w:pPr>
    </w:p>
    <w:p w:rsidR="005F482C" w:rsidRPr="00201E6E" w:rsidRDefault="005F482C" w:rsidP="005F482C">
      <w:pPr>
        <w:shd w:val="clear" w:color="auto" w:fill="FFFFFF"/>
        <w:spacing w:after="30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Coté vaccination, pour mémoire, le</w:t>
      </w:r>
      <w:r w:rsidRPr="00201E6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deuxième rappel 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est fortement recommandé</w:t>
      </w:r>
      <w:r w:rsidRPr="00201E6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pour les personnes âgées de 80 ans et plus, pour les résidents en EHPAD et en USLD, ainsi que pour les personnes immunodéprimées,</w:t>
      </w:r>
      <w:r w:rsidRPr="00201E6E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201E6E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>3 mois après leur premier rappel.</w:t>
      </w:r>
    </w:p>
    <w:p w:rsidR="005F482C" w:rsidRDefault="005F482C" w:rsidP="005F482C">
      <w:pPr>
        <w:shd w:val="clear" w:color="auto" w:fill="FFFFFF"/>
        <w:spacing w:after="30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201E6E">
        <w:rPr>
          <w:rFonts w:ascii="Marianne" w:eastAsia="Times New Roman" w:hAnsi="Marianne" w:cs="Times New Roman"/>
          <w:sz w:val="20"/>
          <w:szCs w:val="20"/>
          <w:lang w:eastAsia="fr-FR"/>
        </w:rPr>
        <w:t>Il est également ouvert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et conseillé</w:t>
      </w:r>
      <w:r w:rsidRPr="00201E6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aux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personnes de 60 ans à 79 ans, </w:t>
      </w:r>
      <w:r w:rsidRPr="00201E6E">
        <w:rPr>
          <w:rFonts w:ascii="Marianne" w:eastAsia="Times New Roman" w:hAnsi="Marianne" w:cs="Times New Roman"/>
          <w:b/>
          <w:sz w:val="20"/>
          <w:szCs w:val="20"/>
          <w:lang w:eastAsia="fr-FR"/>
        </w:rPr>
        <w:t>dès 6 mois</w:t>
      </w:r>
      <w:r w:rsidRPr="00201E6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aprè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s l’injection du premier rappel ou après la dernière infection.</w:t>
      </w:r>
    </w:p>
    <w:p w:rsidR="005F482C" w:rsidRPr="00CF7EC3" w:rsidRDefault="005F482C" w:rsidP="005F482C">
      <w:pPr>
        <w:shd w:val="clear" w:color="auto" w:fill="FFFFFF"/>
        <w:spacing w:after="30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CF7EC3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Les professionnels de santé de proximité </w:t>
      </w:r>
      <w:r w:rsidR="00C05FF8" w:rsidRPr="00CF7EC3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(médecins, pharmaciens, infirmiers…) </w:t>
      </w:r>
      <w:r w:rsidRPr="00CF7EC3">
        <w:rPr>
          <w:rFonts w:ascii="Marianne" w:eastAsia="Times New Roman" w:hAnsi="Marianne" w:cs="Times New Roman"/>
          <w:sz w:val="20"/>
          <w:szCs w:val="20"/>
          <w:lang w:eastAsia="fr-FR"/>
        </w:rPr>
        <w:t>demeurent impliqués dans cette campagne</w:t>
      </w:r>
      <w:r w:rsidR="00C05FF8" w:rsidRPr="00CF7EC3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de vaccination</w:t>
      </w:r>
      <w:r w:rsidRPr="00CF7EC3">
        <w:rPr>
          <w:rFonts w:ascii="Marianne" w:eastAsia="Times New Roman" w:hAnsi="Marianne" w:cs="Times New Roman"/>
          <w:sz w:val="20"/>
          <w:szCs w:val="20"/>
          <w:lang w:eastAsia="fr-FR"/>
        </w:rPr>
        <w:t>, dont les enjeux gardent tout leur sens, car l’épidémie n’est pas derrière nous</w:t>
      </w:r>
      <w:r w:rsidR="00CF7EC3" w:rsidRPr="00CF7EC3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</w:p>
    <w:p w:rsidR="005F482C" w:rsidRDefault="005F482C" w:rsidP="005F482C">
      <w:pPr>
        <w:jc w:val="both"/>
        <w:rPr>
          <w:rFonts w:ascii="Marianne" w:hAnsi="Marianne" w:cs="Calibri"/>
          <w:sz w:val="20"/>
          <w:szCs w:val="20"/>
        </w:rPr>
      </w:pPr>
      <w:r w:rsidRPr="008F3E7E">
        <w:rPr>
          <w:rFonts w:ascii="Marianne" w:hAnsi="Marianne" w:cs="Calibri"/>
          <w:sz w:val="20"/>
          <w:szCs w:val="20"/>
        </w:rPr>
        <w:t xml:space="preserve">Depuis </w:t>
      </w:r>
      <w:r>
        <w:rPr>
          <w:rFonts w:ascii="Marianne" w:hAnsi="Marianne" w:cs="Calibri"/>
          <w:sz w:val="20"/>
          <w:szCs w:val="20"/>
        </w:rPr>
        <w:t>mars 2020</w:t>
      </w:r>
      <w:r w:rsidRPr="008F3E7E">
        <w:rPr>
          <w:rFonts w:ascii="Marianne" w:hAnsi="Marianne" w:cs="Calibri"/>
          <w:sz w:val="20"/>
          <w:szCs w:val="20"/>
        </w:rPr>
        <w:t xml:space="preserve">, </w:t>
      </w:r>
      <w:r>
        <w:rPr>
          <w:rFonts w:ascii="Marianne" w:hAnsi="Marianne" w:cs="Calibri"/>
          <w:sz w:val="20"/>
          <w:szCs w:val="20"/>
        </w:rPr>
        <w:t>en Bourgogne-Franche-Comté, elle est responsable de 6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Calibri"/>
          <w:sz w:val="20"/>
          <w:szCs w:val="20"/>
        </w:rPr>
        <w:t>310 décès en établissements de santé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Calibri"/>
          <w:sz w:val="20"/>
          <w:szCs w:val="20"/>
        </w:rPr>
        <w:t xml:space="preserve">; </w:t>
      </w:r>
      <w:r w:rsidRPr="008F3E7E">
        <w:rPr>
          <w:rFonts w:ascii="Marianne" w:hAnsi="Marianne"/>
          <w:sz w:val="20"/>
          <w:szCs w:val="20"/>
        </w:rPr>
        <w:t xml:space="preserve">2 </w:t>
      </w:r>
      <w:r>
        <w:rPr>
          <w:rFonts w:ascii="Marianne" w:hAnsi="Marianne"/>
          <w:sz w:val="20"/>
          <w:szCs w:val="20"/>
        </w:rPr>
        <w:t>472</w:t>
      </w:r>
      <w:r w:rsidRPr="008F3E7E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dans les établissements</w:t>
      </w:r>
      <w:r w:rsidRPr="008F3E7E">
        <w:rPr>
          <w:rFonts w:ascii="Marianne" w:hAnsi="Marianne"/>
          <w:sz w:val="20"/>
          <w:szCs w:val="20"/>
        </w:rPr>
        <w:t xml:space="preserve"> médico-sociaux</w:t>
      </w:r>
      <w:r w:rsidRPr="008F3E7E">
        <w:rPr>
          <w:rFonts w:ascii="Marianne" w:hAnsi="Marianne" w:cs="Calibri"/>
          <w:sz w:val="20"/>
          <w:szCs w:val="20"/>
        </w:rPr>
        <w:t xml:space="preserve">. </w:t>
      </w:r>
    </w:p>
    <w:p w:rsidR="005F482C" w:rsidRPr="008F3E7E" w:rsidRDefault="005F482C" w:rsidP="005F482C">
      <w:pPr>
        <w:jc w:val="both"/>
        <w:rPr>
          <w:rFonts w:ascii="Marianne" w:hAnsi="Marianne" w:cs="Calibri"/>
          <w:sz w:val="20"/>
          <w:szCs w:val="20"/>
        </w:rPr>
      </w:pPr>
    </w:p>
    <w:p w:rsidR="005F482C" w:rsidRDefault="005F482C" w:rsidP="005F482C">
      <w:pPr>
        <w:pStyle w:val="Corps"/>
        <w:rPr>
          <w:b/>
        </w:rPr>
      </w:pPr>
    </w:p>
    <w:p w:rsidR="005F482C" w:rsidRPr="006642D4" w:rsidRDefault="005F482C" w:rsidP="005F482C">
      <w:pPr>
        <w:shd w:val="clear" w:color="auto" w:fill="FFFFFF"/>
        <w:spacing w:after="300" w:line="240" w:lineRule="auto"/>
        <w:jc w:val="both"/>
        <w:rPr>
          <w:rFonts w:ascii="Marianne" w:hAnsi="Marianne" w:cs="Arial"/>
          <w:sz w:val="20"/>
          <w:szCs w:val="20"/>
          <w:lang w:eastAsia="fr-FR"/>
        </w:rPr>
      </w:pPr>
    </w:p>
    <w:sectPr w:rsidR="005F482C" w:rsidRPr="006642D4" w:rsidSect="00F040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73" w:rsidRDefault="00133C73" w:rsidP="006410E9">
      <w:pPr>
        <w:spacing w:after="0" w:line="240" w:lineRule="auto"/>
      </w:pPr>
      <w:r>
        <w:separator/>
      </w:r>
    </w:p>
  </w:endnote>
  <w:endnote w:type="continuationSeparator" w:id="0">
    <w:p w:rsidR="00133C73" w:rsidRDefault="00133C73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Pr="006145D1" w:rsidRDefault="00F040E2" w:rsidP="00F040E2">
    <w:pPr>
      <w:pStyle w:val="Contacts"/>
    </w:pPr>
    <w:r w:rsidRPr="006145D1">
      <w:t>Contacts presse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73" w:rsidRDefault="00133C73" w:rsidP="006410E9">
      <w:pPr>
        <w:spacing w:after="0" w:line="240" w:lineRule="auto"/>
      </w:pPr>
      <w:r>
        <w:separator/>
      </w:r>
    </w:p>
  </w:footnote>
  <w:footnote w:type="continuationSeparator" w:id="0">
    <w:p w:rsidR="00133C73" w:rsidRDefault="00133C73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942"/>
    <w:multiLevelType w:val="hybridMultilevel"/>
    <w:tmpl w:val="C400DB2E"/>
    <w:lvl w:ilvl="0" w:tplc="A934C61C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4399"/>
    <w:multiLevelType w:val="hybridMultilevel"/>
    <w:tmpl w:val="301021C2"/>
    <w:lvl w:ilvl="0" w:tplc="33964B0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4AF8"/>
    <w:rsid w:val="00056367"/>
    <w:rsid w:val="0006245C"/>
    <w:rsid w:val="000778BA"/>
    <w:rsid w:val="00093B66"/>
    <w:rsid w:val="000D0213"/>
    <w:rsid w:val="000D4881"/>
    <w:rsid w:val="00114CBF"/>
    <w:rsid w:val="001156AA"/>
    <w:rsid w:val="00115A37"/>
    <w:rsid w:val="00133C73"/>
    <w:rsid w:val="001362CC"/>
    <w:rsid w:val="00147CDF"/>
    <w:rsid w:val="00152DF2"/>
    <w:rsid w:val="001556F8"/>
    <w:rsid w:val="00162808"/>
    <w:rsid w:val="0016298C"/>
    <w:rsid w:val="00174988"/>
    <w:rsid w:val="00184956"/>
    <w:rsid w:val="001C0260"/>
    <w:rsid w:val="001C429F"/>
    <w:rsid w:val="00205E1E"/>
    <w:rsid w:val="00234928"/>
    <w:rsid w:val="00250035"/>
    <w:rsid w:val="002A76A5"/>
    <w:rsid w:val="002B273A"/>
    <w:rsid w:val="002C3D33"/>
    <w:rsid w:val="002E02F2"/>
    <w:rsid w:val="002F7BAC"/>
    <w:rsid w:val="00311003"/>
    <w:rsid w:val="00330141"/>
    <w:rsid w:val="003457E4"/>
    <w:rsid w:val="00356E52"/>
    <w:rsid w:val="003608BC"/>
    <w:rsid w:val="00370A33"/>
    <w:rsid w:val="00375830"/>
    <w:rsid w:val="003841F2"/>
    <w:rsid w:val="003A3B71"/>
    <w:rsid w:val="003D02E4"/>
    <w:rsid w:val="003D548E"/>
    <w:rsid w:val="004260B9"/>
    <w:rsid w:val="004801A9"/>
    <w:rsid w:val="004C3797"/>
    <w:rsid w:val="004E2E77"/>
    <w:rsid w:val="00513BCA"/>
    <w:rsid w:val="005169C5"/>
    <w:rsid w:val="005521D9"/>
    <w:rsid w:val="00554E5C"/>
    <w:rsid w:val="005624A2"/>
    <w:rsid w:val="005678B0"/>
    <w:rsid w:val="005756DD"/>
    <w:rsid w:val="005834F9"/>
    <w:rsid w:val="00593BC4"/>
    <w:rsid w:val="005A4F5D"/>
    <w:rsid w:val="005D5FA6"/>
    <w:rsid w:val="005F482C"/>
    <w:rsid w:val="006145D1"/>
    <w:rsid w:val="00615C5D"/>
    <w:rsid w:val="006242A1"/>
    <w:rsid w:val="00624CDC"/>
    <w:rsid w:val="006368E8"/>
    <w:rsid w:val="006410E9"/>
    <w:rsid w:val="00643E2E"/>
    <w:rsid w:val="006642D4"/>
    <w:rsid w:val="006768FC"/>
    <w:rsid w:val="00677C1E"/>
    <w:rsid w:val="0069030F"/>
    <w:rsid w:val="006B1299"/>
    <w:rsid w:val="006C26F7"/>
    <w:rsid w:val="006D3359"/>
    <w:rsid w:val="0071459B"/>
    <w:rsid w:val="00717B23"/>
    <w:rsid w:val="00743907"/>
    <w:rsid w:val="007628CF"/>
    <w:rsid w:val="00764DF4"/>
    <w:rsid w:val="0078051E"/>
    <w:rsid w:val="00782AFD"/>
    <w:rsid w:val="00790A62"/>
    <w:rsid w:val="00793D8A"/>
    <w:rsid w:val="007A0CE7"/>
    <w:rsid w:val="007D2035"/>
    <w:rsid w:val="0080396E"/>
    <w:rsid w:val="00831D44"/>
    <w:rsid w:val="00844054"/>
    <w:rsid w:val="00860FAD"/>
    <w:rsid w:val="008617BF"/>
    <w:rsid w:val="00865825"/>
    <w:rsid w:val="008705D8"/>
    <w:rsid w:val="008875C1"/>
    <w:rsid w:val="008E0039"/>
    <w:rsid w:val="008E17CC"/>
    <w:rsid w:val="008F231F"/>
    <w:rsid w:val="008F2CB4"/>
    <w:rsid w:val="008F3E7E"/>
    <w:rsid w:val="008F688C"/>
    <w:rsid w:val="00940425"/>
    <w:rsid w:val="0094277D"/>
    <w:rsid w:val="00947774"/>
    <w:rsid w:val="00980135"/>
    <w:rsid w:val="00993BD8"/>
    <w:rsid w:val="009958CF"/>
    <w:rsid w:val="009B13B7"/>
    <w:rsid w:val="009B1754"/>
    <w:rsid w:val="009B781C"/>
    <w:rsid w:val="009C0928"/>
    <w:rsid w:val="009C7607"/>
    <w:rsid w:val="009D3731"/>
    <w:rsid w:val="009E6F55"/>
    <w:rsid w:val="00A2604D"/>
    <w:rsid w:val="00A3770C"/>
    <w:rsid w:val="00A57E15"/>
    <w:rsid w:val="00A74C7E"/>
    <w:rsid w:val="00AB103D"/>
    <w:rsid w:val="00AC3428"/>
    <w:rsid w:val="00AD7C8D"/>
    <w:rsid w:val="00AE05FD"/>
    <w:rsid w:val="00B00780"/>
    <w:rsid w:val="00B72BC3"/>
    <w:rsid w:val="00BC4CA7"/>
    <w:rsid w:val="00BE3CB5"/>
    <w:rsid w:val="00BF5E23"/>
    <w:rsid w:val="00C030F5"/>
    <w:rsid w:val="00C05FF8"/>
    <w:rsid w:val="00C1115F"/>
    <w:rsid w:val="00C15AFB"/>
    <w:rsid w:val="00C23C45"/>
    <w:rsid w:val="00C47252"/>
    <w:rsid w:val="00C54E4F"/>
    <w:rsid w:val="00C849E5"/>
    <w:rsid w:val="00CC4DE3"/>
    <w:rsid w:val="00CD4145"/>
    <w:rsid w:val="00CD5BC1"/>
    <w:rsid w:val="00CF7EC3"/>
    <w:rsid w:val="00D13E41"/>
    <w:rsid w:val="00D22CED"/>
    <w:rsid w:val="00D6477C"/>
    <w:rsid w:val="00D8358B"/>
    <w:rsid w:val="00D8564D"/>
    <w:rsid w:val="00DA5E20"/>
    <w:rsid w:val="00DE4BA6"/>
    <w:rsid w:val="00DF6887"/>
    <w:rsid w:val="00E07AD4"/>
    <w:rsid w:val="00E213A4"/>
    <w:rsid w:val="00E278BA"/>
    <w:rsid w:val="00E47A5C"/>
    <w:rsid w:val="00E83896"/>
    <w:rsid w:val="00EB1828"/>
    <w:rsid w:val="00EB726B"/>
    <w:rsid w:val="00EC3743"/>
    <w:rsid w:val="00ED644E"/>
    <w:rsid w:val="00ED7704"/>
    <w:rsid w:val="00F040E2"/>
    <w:rsid w:val="00F14E7D"/>
    <w:rsid w:val="00F5658A"/>
    <w:rsid w:val="00F739AD"/>
    <w:rsid w:val="00F75815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C4D80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030F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5239-4C44-446B-A1D9-E038BFBA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2</cp:revision>
  <cp:lastPrinted>2022-03-18T16:03:00Z</cp:lastPrinted>
  <dcterms:created xsi:type="dcterms:W3CDTF">2022-04-29T15:49:00Z</dcterms:created>
  <dcterms:modified xsi:type="dcterms:W3CDTF">2022-04-29T15:49:00Z</dcterms:modified>
</cp:coreProperties>
</file>