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1556F8" w:rsidP="00743907">
      <w:pPr>
        <w:pStyle w:val="DateCP"/>
      </w:pPr>
      <w:r>
        <w:t xml:space="preserve">Dijon, le </w:t>
      </w:r>
      <w:r w:rsidR="00B76B99">
        <w:t>15</w:t>
      </w:r>
      <w:r w:rsidR="003D548E">
        <w:t xml:space="preserve"> avril</w:t>
      </w:r>
      <w:r w:rsidR="00743907">
        <w:t xml:space="preserve"> 2022</w:t>
      </w:r>
    </w:p>
    <w:p w:rsidR="00184956" w:rsidRDefault="00184956" w:rsidP="00743907">
      <w:pPr>
        <w:pStyle w:val="TITRE20"/>
      </w:pPr>
    </w:p>
    <w:p w:rsidR="00743907" w:rsidRDefault="00743907" w:rsidP="00743907">
      <w:pPr>
        <w:pStyle w:val="TITRE20"/>
      </w:pPr>
      <w:r>
        <w:t xml:space="preserve">COVID-19 EN BOURGOGNE </w:t>
      </w:r>
      <w:r w:rsidRPr="00743907">
        <w:t>FRANCHE</w:t>
      </w:r>
      <w:r>
        <w:t>-COMTE</w:t>
      </w:r>
      <w:r w:rsidR="007A0288">
        <w:rPr>
          <w:rFonts w:ascii="Calibri" w:hAnsi="Calibri" w:cs="Calibri"/>
        </w:rPr>
        <w:t xml:space="preserve"> : </w:t>
      </w:r>
    </w:p>
    <w:p w:rsidR="00980135" w:rsidRDefault="007A0288" w:rsidP="00ED644E">
      <w:pPr>
        <w:pStyle w:val="Chap"/>
        <w:jc w:val="both"/>
        <w:rPr>
          <w:b w:val="0"/>
          <w:sz w:val="28"/>
        </w:rPr>
      </w:pPr>
      <w:r>
        <w:rPr>
          <w:b w:val="0"/>
          <w:sz w:val="28"/>
        </w:rPr>
        <w:t xml:space="preserve">Le virus est toujours là, </w:t>
      </w:r>
      <w:r w:rsidR="00C47252">
        <w:rPr>
          <w:b w:val="0"/>
          <w:sz w:val="28"/>
        </w:rPr>
        <w:t>ne pas baisser la garde</w:t>
      </w:r>
    </w:p>
    <w:p w:rsidR="00CD5D13" w:rsidRDefault="00CD5D13" w:rsidP="00ED644E">
      <w:pPr>
        <w:pStyle w:val="Chap"/>
        <w:jc w:val="both"/>
        <w:rPr>
          <w:b w:val="0"/>
          <w:sz w:val="28"/>
        </w:rPr>
      </w:pPr>
    </w:p>
    <w:p w:rsidR="00ED644E" w:rsidRPr="00CC4DE3" w:rsidRDefault="007E7761" w:rsidP="00ED644E">
      <w:pPr>
        <w:pStyle w:val="Chap"/>
        <w:jc w:val="both"/>
      </w:pPr>
      <w:r>
        <w:t>Si la progression de l’épidémie ralentit</w:t>
      </w:r>
      <w:r w:rsidR="00CD5D13">
        <w:t xml:space="preserve"> depuis la semaine dernière, l</w:t>
      </w:r>
      <w:r>
        <w:t xml:space="preserve">a circulation du virus </w:t>
      </w:r>
      <w:r w:rsidR="00201E6E">
        <w:t xml:space="preserve">s’inscrit encore </w:t>
      </w:r>
      <w:r w:rsidR="00CD5D13">
        <w:t>dans une tendance à la hausse en Bourgogne-Franche-Comté.</w:t>
      </w:r>
      <w:r w:rsidR="00B76B99">
        <w:t xml:space="preserve"> </w:t>
      </w:r>
      <w:r w:rsidR="00C47252">
        <w:t xml:space="preserve">L’ARS </w:t>
      </w:r>
      <w:r w:rsidR="00201E6E">
        <w:t>renouvelle ses appels à la vigilance</w:t>
      </w:r>
      <w:r w:rsidR="00B76B99">
        <w:t xml:space="preserve"> de tous</w:t>
      </w:r>
      <w:r w:rsidR="002802A6">
        <w:t>, en particulier à l’occasion des retrouvailles familiales et des congés scolaires.</w:t>
      </w:r>
    </w:p>
    <w:p w:rsidR="00ED644E" w:rsidRDefault="00ED644E" w:rsidP="003457E4">
      <w:pPr>
        <w:pStyle w:val="Corps"/>
        <w:jc w:val="both"/>
      </w:pPr>
    </w:p>
    <w:p w:rsidR="002802A6" w:rsidRDefault="00CD5D13" w:rsidP="003457E4">
      <w:pPr>
        <w:pStyle w:val="Corps"/>
        <w:jc w:val="both"/>
      </w:pPr>
      <w:r>
        <w:t>La</w:t>
      </w:r>
      <w:r w:rsidR="002802A6">
        <w:t xml:space="preserve"> circulation du virus poursuit le ralentissement amorcé la semaine dernière</w:t>
      </w:r>
      <w:r>
        <w:t xml:space="preserve"> mais</w:t>
      </w:r>
      <w:r w:rsidR="002802A6">
        <w:t xml:space="preserve"> se maintient à un niveau très élevé en Bourgogne-Franche-Comté</w:t>
      </w:r>
      <w:r w:rsidR="007E7761">
        <w:t>,</w:t>
      </w:r>
      <w:r w:rsidR="002802A6">
        <w:t xml:space="preserve"> où le taux d’incidence en population générale dépasse les 1</w:t>
      </w:r>
      <w:r w:rsidR="002802A6">
        <w:rPr>
          <w:rFonts w:ascii="Calibri" w:hAnsi="Calibri" w:cs="Calibri"/>
        </w:rPr>
        <w:t> </w:t>
      </w:r>
      <w:r w:rsidR="002802A6">
        <w:t>400 cas pour 100</w:t>
      </w:r>
      <w:r w:rsidR="002802A6">
        <w:rPr>
          <w:rFonts w:ascii="Calibri" w:hAnsi="Calibri" w:cs="Calibri"/>
        </w:rPr>
        <w:t> </w:t>
      </w:r>
      <w:r w:rsidR="002802A6">
        <w:t xml:space="preserve">000 habitants et </w:t>
      </w:r>
      <w:r w:rsidR="007E7761">
        <w:t>où près de 4 tests de dépistage sur 10 sont positifs.</w:t>
      </w:r>
    </w:p>
    <w:p w:rsidR="00CD5D13" w:rsidRDefault="002802A6" w:rsidP="003457E4">
      <w:pPr>
        <w:pStyle w:val="Corps"/>
        <w:jc w:val="both"/>
      </w:pPr>
      <w:r>
        <w:t xml:space="preserve">L’épidémie de grippe, </w:t>
      </w:r>
      <w:r w:rsidR="00201E6E">
        <w:t xml:space="preserve">par ailleurs </w:t>
      </w:r>
      <w:r>
        <w:t>en cours depuis un mois, se stabili</w:t>
      </w:r>
      <w:r w:rsidR="00CD5D13">
        <w:t>se.</w:t>
      </w:r>
    </w:p>
    <w:p w:rsidR="00201E6E" w:rsidRDefault="00CD5D13" w:rsidP="003457E4">
      <w:pPr>
        <w:pStyle w:val="Corps"/>
        <w:jc w:val="both"/>
      </w:pPr>
      <w:r>
        <w:t>L’impact</w:t>
      </w:r>
      <w:r w:rsidR="002802A6">
        <w:t xml:space="preserve"> de ces deux fronts viraux continue de peser sur le système de soins</w:t>
      </w:r>
      <w:r>
        <w:t>,</w:t>
      </w:r>
      <w:r w:rsidR="002802A6">
        <w:t xml:space="preserve"> avec des hospitalisations</w:t>
      </w:r>
      <w:r w:rsidR="007E7761">
        <w:t xml:space="preserve"> toujours en hausse qui peuvent générer des tensi</w:t>
      </w:r>
      <w:r w:rsidR="00201E6E">
        <w:t>ons dans certains établissements de santé.</w:t>
      </w:r>
    </w:p>
    <w:p w:rsidR="002802A6" w:rsidRDefault="002802A6" w:rsidP="003457E4">
      <w:pPr>
        <w:pStyle w:val="Corps"/>
        <w:jc w:val="both"/>
      </w:pPr>
      <w:r>
        <w:t xml:space="preserve"> </w:t>
      </w:r>
      <w:r w:rsidR="007E7761" w:rsidRPr="007E7761">
        <w:rPr>
          <w:noProof/>
          <w:lang w:eastAsia="fr-FR"/>
        </w:rPr>
        <w:drawing>
          <wp:inline distT="0" distB="0" distL="0" distR="0" wp14:anchorId="02526D49" wp14:editId="5F5BD22C">
            <wp:extent cx="5760720" cy="3753283"/>
            <wp:effectExtent l="0" t="0" r="0" b="0"/>
            <wp:docPr id="4" name="Image 4" descr="Département de Côte d'Or : &#10;Taux d'incidence pour 100 000 habitants du 5 au 11  avril 2022 : 1 650. Evolution sur une semaine : augmentation.&#10;Taux d'incidence des plus de 65 ans pour 100 000 habitants du 4 au 10 avril 2022 : 1 539. Evolution sur une semaine : augmentation.&#10;Taux de positivité des tests du 5 au 11 avril 2022 : 39,4%. Evolution sur une semaine : augmentation.&#10;Nombre de personnes hospitalisées au 15 avril 2022 : 273. Evolution sur une semaine : augmentation.&#10;Nombre de personnes hospitalisées motif principal Covid au 15 avril 2022 : 112. Evolution sur une semaine : stable.&#10;Nombre de personnes hospitalisées en réanimation au 15 avril 2022 : 19. Evolution sur une semaine : baisse.&#10;Nombre de personnes hospitalisées en réanimation motif principal Covid au 15 avril 2022 : 12. Evolution sur semaine : augmentation.&#10;&#10;Département du Doubs : &#10;Taux d'incidence pour 100 000 habitants du 5 au 11  avril 2022 : 1 279. Evolution sur une semaine : augmentation.&#10;Taux d'incidence des plus de 65 ans pour 100 000 habitants du 4 au 10 avril 2022 : 1 431. Evolution sur une semaine : augmentation.&#10;Taux de positivité des tests du 5 au 11 avril 2022 : 36,3%. Evolution sur une semaine : augmentation.&#10;Nombre de personnes hospitalisées au 15 avril 2022 : 102. Evolution sur une semaine : baisse.&#10;Nombre de personnes hospitalisées motif principal Covid au 15 avril 2022 : 46. Evolution sur une semaine : baisse.&#10;Nombre de personnes hospitalisées en réanimation au 15 avril 2022 : 10. Evolution sur une semaine : baisse.&#10;Nombre de personnes hospitalisées en réanimation motif principal Covid au 15 avril 2022 : 4. Evolution sur semaine : baisse.&#10;&#10;Département du Jura :&#10;Taux d'incidence pour 100 000 habitants du 5 au 11  avril 2022 : 1 480. Evolution sur une semaine : stable.&#10;Taux d'incidence des plus de 65 ans pour 100 000 habitants du 4 au 10 avril 2022 : 1 596. Evolution sur une semaine : augmentation.&#10;Taux de positivité des tests du 5 au 11 avril 2022 : 38,8%. Evolution sur une semaine : augmentation.&#10;Nombre de personnes hospitalisées au 15 avril 2022 : 107. Evolution sur une semaine : augmentation.&#10;Nombre de personnes hospitalisées motif principal Covid au 15 avril 2022 : 42. Evolution sur une semaine : stable.&#10;Nombre de personnes hospitalisées en réanimation au 15 avril 2022 : 4. Evolution sur une semaine : baisse.&#10;Nombre de personnes hospitalisées en réanimation motif principal Covid au 15 avril 2022 : 4. Evolution sur semaine : stable.&#10;&#10;Département de la Nièvre :&#10;Taux d'incidence pour 100 000 habitants du 5 au 11 avril 2022 : 1 603. Evolution sur une semaine : augmentation.&#10;Taux d'incidence des plus de 65 ans pour 100 000 habitants du 4 au 10 avril 2022 : 1 287. Evolution sur une semaine : augmentation.&#10;Taux de positivité des tests du 5 au 11 avril 2022 : 45,6%. Evolution sur une semaine : augmentation.&#10;Nombre de personnes hospitalisées au 15 avril 2022 : 62. Evolution sur une semaine : augmentation.&#10;Nombre de personnes hospitalisées motif principal Covid au 15 avril 2022 : 31. Evolution sur une semaine : augmentation.&#10;Nombre de personnes hospitalisées en réanimation au 15 avril 2022 : 2. Evolution sur une semaine : baisse.&#10;Nombre de personnes hospitalisées en réanimation motif principal Covid au 15 avril 2022 : 2. Evolution sur semaine : augmentation.&#10;&#10;Département de la Haute-Saône :&#10;Taux d'incidence pour 100 000 habitants du 5 au 11  avril 2022 : 1 537. Evolution sur une semaine : augmentation.&#10;Taux d'incidence des plus de 65 ans pour 100 000 habitants du 4 au 10 avril 2022 : 1 525. Evolution sur une semaine : augmentation.&#10;Taux de positivité des tests du 5 au 11 avril 2022 : 40,1%. Evolution sur une semaine : augmentation.&#10;Nombre de personnes hospitalisées au 15 avril 2022 : 103. Evolution sur une semaine : augmentation.&#10;Nombre de personnes hospitalisées motif principal Covid au 15 avril 2022 : 65. Evolution sur une semaine : augmentation.&#10;Nombre de personnes hospitalisées en réanimation au 15 avril 2022 : 5. Evolution sur une semaine : augmentation.&#10;Nombre de personnes hospitalisées en réanimation motif principal Covid au 15 avril 2022 : 4. Evolution sur semaine : augmentation.&#10;&#10;Département de la Saône et Loire : &#10;Taux d'incidence pour 100 000 habitants du 5 au 11  avril 2022 : 1 431. Evolution sur une semaine : augmentation.&#10;Taux d'incidence des plus de 65 ans pour 100 000 habitants du 4 au 10 avril 2022 : 1 344. Evolution sur une semaine : augmentation.&#10;Taux de positivité des tests du 5 au 11 avril 2022 : 41,1%. Evolution sur une semaine : augmentation.&#10;Nombre de personnes hospitalisées au 15 avril 2022 : 190. Evolution sur une semaine : augmentation.&#10;Nombre de personnes hospitalisées motif principal Covid au 15 avril 2022 : 136. Evolution sur une semaine : baisse.&#10;Nombre de personnes hospitalisées en réanimation au 15 avril 2022 : 5. Evolution sur une semaine : baisse.&#10;Nombre de personnes hospitalisées en réanimation motif principal Covid au 15 avril 2022 : 5. Evolution sur semaine : stable.&#10;&#10;Département de l'Yonne :&#10;Taux d'incidence pour 100 000 habitants du 5 au 11  avril 2022 : 1 446. Evolution sur une semaine : augmentation.&#10;Taux d'incidence des plus de 65 ans pour 100 000 habitants du 4 au 10 avril 2022 : 1 181. Evolution sur une semaine : augmentation.&#10;Taux de positivité des tests du 5 au 11 avril 2022 : 39,0%. Evolution sur une semaine : augmentation.&#10;Nombre de personnes hospitalisées au 15 avril 2022 : 154. Evolution sur une semaine : augmentation.&#10;Nombre de personnes hospitalisées motif principal Covid au 15 avril 2022 : 80. Evolution sur une semaine : augmentation.&#10;Nombre de personnes hospitalisées en réanimation au 15 avril 2022 : 10. Evolution sur une semaine : augmentation.&#10;Nombre de personnes hospitalisées en réanimation motif principal Covid au 15 avril 2022 : 7. Evolution sur semaine : augmentation.&#10;&#10;Département du Territoire de Belfort&#10;Taux d'incidence pour 100 000 habitants du 5 au 11  avril 2022 : 1 212. Evolution sur une semaine : baisse.&#10;Taux d'incidence des plus de 65 ans pour 100 000 habitants du 4 au 10 avril 2022 : 1 111. Evolution sur une semaine : baisse.&#10;Taux de positivité des tests du 5 au 11 avril 2022 : 31,8%. Evolution sur une semaine : baisse.&#10;Nombre de personnes hospitalisées au 15 avril 2022 : 79. Evolution sur une semaine : baisse.&#10;Nombre de personnes hospitalisées motif principal Covid au 15 avril 2022 : 64. Evolution sur une semaine : baisse.&#10;Nombre de personnes hospitalisées en réanimation au 15 avril 2022 : 2. Evolution sur une semaine : baisse.&#10;Nombre de personnes hospitalisées en réanimation motif principal Covid au 15 avril 2022 : 1. Evolution sur semaine : baisse.&#10;&#10;Région Bourgogne-Franche-Comté :&#10;Taux d'incidence pour 100 000 habitants du 5 au 11  avril 2022 : 1 460. Evolution sur une semaine : augmentation.&#10;Taux d'incidence des plus de 65 ans pour 100 000 habitants du 4 au 10 avril 2022 : 1 395. Evolution sur une semaine : augmentation.&#10;Taux de positivité des tests du 5 au 11 avril 2022 : 39,1%. Evolution sur une semaine : augmentation.&#10;Nombre de personnes hospitalisées au 15 avril 2022 : 1 070. Evolution sur une semaine : augmentation.&#10;Nombre de personnes hospitalisées motif principal Covid au 15 avril 2022 : 576. Evolution sur une semaine : augmentation.&#10;Nombre de personnes hospitalisées en réanimation au 15 avril 2022 : 57. Evolution sur une semaine : baisse.&#10;Nombre de personnes hospitalisées en réanimation motif principal Covid au 15 avril 2022 : 39. Evolution sur semaine : augmentation.&#10;&#10;Seuil d'attention : incidence : 10 ; Incidence plus de 65 ans : 10 ; Taux de positivité : 5%&#10;Entre seuil d'attention et seuil d'alerte : incidence : entre 10 et 50; Incidence plus de 65 ans : entre 10 et 50; Taux de positivité : entre 5% et 10%.&#10;Seuil d'alerte : incidence : 50 ; Incidence plus de 65 ans : 50 ; Taux de positivité : 10%" title="Tableau épidémio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61" w:rsidRDefault="007E7761" w:rsidP="003457E4">
      <w:pPr>
        <w:pStyle w:val="Corps"/>
        <w:jc w:val="both"/>
      </w:pPr>
    </w:p>
    <w:p w:rsidR="007E7761" w:rsidRDefault="007E7761" w:rsidP="003457E4">
      <w:pPr>
        <w:pStyle w:val="Corps"/>
        <w:jc w:val="both"/>
      </w:pPr>
    </w:p>
    <w:p w:rsidR="002802A6" w:rsidRDefault="002802A6" w:rsidP="003457E4">
      <w:pPr>
        <w:pStyle w:val="Corps"/>
        <w:jc w:val="both"/>
      </w:pPr>
    </w:p>
    <w:p w:rsidR="00CD5D13" w:rsidRDefault="00CD5D13" w:rsidP="003457E4">
      <w:pPr>
        <w:pStyle w:val="Corps"/>
        <w:jc w:val="both"/>
      </w:pPr>
      <w:r>
        <w:t>Protéger les plus fragiles contre les formes graves</w:t>
      </w:r>
      <w:r w:rsidR="007E7761">
        <w:t xml:space="preserve"> à l’origine de ces hospitalisations</w:t>
      </w:r>
      <w:r>
        <w:t xml:space="preserve"> repose </w:t>
      </w:r>
      <w:bookmarkStart w:id="0" w:name="_GoBack"/>
      <w:bookmarkEnd w:id="0"/>
      <w:r>
        <w:t xml:space="preserve">sur les deux piliers </w:t>
      </w:r>
      <w:r w:rsidR="007E7761">
        <w:t>des</w:t>
      </w:r>
      <w:r>
        <w:t xml:space="preserve"> actions collectives et individuelle</w:t>
      </w:r>
      <w:r w:rsidR="007E7761">
        <w:t>s</w:t>
      </w:r>
      <w:r>
        <w:rPr>
          <w:rFonts w:ascii="Calibri" w:hAnsi="Calibri" w:cs="Calibri"/>
        </w:rPr>
        <w:t> </w:t>
      </w:r>
      <w:r>
        <w:t xml:space="preserve">: la prévention dans </w:t>
      </w:r>
      <w:r w:rsidR="007E7761">
        <w:t>l</w:t>
      </w:r>
      <w:r>
        <w:t>a vie de tous les jours</w:t>
      </w:r>
      <w:r w:rsidR="00201E6E">
        <w:t>,</w:t>
      </w:r>
      <w:r>
        <w:rPr>
          <w:rFonts w:ascii="Calibri" w:hAnsi="Calibri" w:cs="Calibri"/>
        </w:rPr>
        <w:t> </w:t>
      </w:r>
      <w:r>
        <w:t>et la vaccination.</w:t>
      </w:r>
    </w:p>
    <w:p w:rsidR="00CD5D13" w:rsidRDefault="00CD5D13" w:rsidP="003457E4">
      <w:pPr>
        <w:pStyle w:val="Corps"/>
        <w:jc w:val="both"/>
      </w:pPr>
    </w:p>
    <w:p w:rsidR="00CD5D13" w:rsidRDefault="00CD5D13" w:rsidP="00CD5D13">
      <w:pPr>
        <w:pStyle w:val="Corps"/>
        <w:jc w:val="both"/>
      </w:pPr>
      <w:r>
        <w:t>Aérer les locaux très régulièrement devient plus facile au retour des beaux jours. Mais lutter contre l’épidémie au quotidien</w:t>
      </w:r>
      <w:r w:rsidR="00201E6E">
        <w:t>,</w:t>
      </w:r>
      <w:r>
        <w:t xml:space="preserve"> c’est encore p</w:t>
      </w:r>
      <w:r w:rsidRPr="00C47252">
        <w:t>orter le masque dans les lieux de promiscuité importante</w:t>
      </w:r>
      <w:r>
        <w:t xml:space="preserve"> ou a</w:t>
      </w:r>
      <w:r w:rsidR="00201E6E">
        <w:t xml:space="preserve">uprès des personnes vulnérables, </w:t>
      </w:r>
      <w:r>
        <w:t>se laver les mains le plus souvent possible</w:t>
      </w:r>
      <w:r w:rsidR="00201E6E">
        <w:t>, et bien sûr s’isoler en cas de symptômes.</w:t>
      </w:r>
    </w:p>
    <w:p w:rsidR="00CD5D13" w:rsidRDefault="00CD5D13" w:rsidP="003457E4">
      <w:pPr>
        <w:pStyle w:val="Corps"/>
        <w:jc w:val="both"/>
      </w:pPr>
    </w:p>
    <w:p w:rsidR="002802A6" w:rsidRPr="00201E6E" w:rsidRDefault="007E7761" w:rsidP="003457E4">
      <w:pPr>
        <w:pStyle w:val="Corps"/>
        <w:jc w:val="both"/>
        <w:rPr>
          <w:b/>
        </w:rPr>
      </w:pPr>
      <w:r w:rsidRPr="00201E6E">
        <w:rPr>
          <w:b/>
        </w:rPr>
        <w:t>Rappel vaccinal</w:t>
      </w:r>
    </w:p>
    <w:p w:rsidR="007E7761" w:rsidRDefault="007E7761" w:rsidP="003457E4">
      <w:pPr>
        <w:pStyle w:val="Corps"/>
        <w:jc w:val="both"/>
      </w:pPr>
    </w:p>
    <w:p w:rsidR="007E7761" w:rsidRPr="00201E6E" w:rsidRDefault="00201E6E" w:rsidP="007E7761">
      <w:pPr>
        <w:shd w:val="clear" w:color="auto" w:fill="FFFFFF"/>
        <w:spacing w:after="30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Coté vaccination, le</w:t>
      </w:r>
      <w:r w:rsidR="00DA1442" w:rsidRPr="00201E6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deuxième rappel est possible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et fortement recommandé</w:t>
      </w:r>
      <w:r w:rsidR="00DA1442" w:rsidRPr="00201E6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pour les personnes âgées </w:t>
      </w:r>
      <w:r w:rsidR="007E7761" w:rsidRPr="00201E6E">
        <w:rPr>
          <w:rFonts w:ascii="Marianne" w:eastAsia="Times New Roman" w:hAnsi="Marianne" w:cs="Times New Roman"/>
          <w:sz w:val="20"/>
          <w:szCs w:val="20"/>
          <w:lang w:eastAsia="fr-FR"/>
        </w:rPr>
        <w:t>de 80 ans et plus, pour les résidents en EHPAD et en USLD, ainsi que pour les personnes immunodéprimées,</w:t>
      </w:r>
      <w:r w:rsidR="007E7761" w:rsidRPr="00201E6E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7E7761" w:rsidRPr="00201E6E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>3 mois après leur premier rappel.</w:t>
      </w:r>
    </w:p>
    <w:p w:rsidR="00DA1442" w:rsidRDefault="007E7761" w:rsidP="00201E6E">
      <w:pPr>
        <w:shd w:val="clear" w:color="auto" w:fill="FFFFFF"/>
        <w:spacing w:after="30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201E6E">
        <w:rPr>
          <w:rFonts w:ascii="Marianne" w:eastAsia="Times New Roman" w:hAnsi="Marianne" w:cs="Times New Roman"/>
          <w:sz w:val="20"/>
          <w:szCs w:val="20"/>
          <w:lang w:eastAsia="fr-FR"/>
        </w:rPr>
        <w:t>Il est également ouvert</w:t>
      </w:r>
      <w:r w:rsidR="00201E6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et conseillé</w:t>
      </w:r>
      <w:r w:rsidRPr="00201E6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aux</w:t>
      </w:r>
      <w:r w:rsidR="00201E6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personnes de 60 ans à 79 ans, </w:t>
      </w:r>
      <w:r w:rsidR="00DA1442" w:rsidRPr="00201E6E">
        <w:rPr>
          <w:rFonts w:ascii="Marianne" w:eastAsia="Times New Roman" w:hAnsi="Marianne" w:cs="Times New Roman"/>
          <w:b/>
          <w:sz w:val="20"/>
          <w:szCs w:val="20"/>
          <w:lang w:eastAsia="fr-FR"/>
        </w:rPr>
        <w:t>dès 6 mois</w:t>
      </w:r>
      <w:r w:rsidR="00DA1442" w:rsidRPr="00201E6E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aprè</w:t>
      </w:r>
      <w:r w:rsidR="00201E6E">
        <w:rPr>
          <w:rFonts w:ascii="Marianne" w:eastAsia="Times New Roman" w:hAnsi="Marianne" w:cs="Times New Roman"/>
          <w:sz w:val="20"/>
          <w:szCs w:val="20"/>
          <w:lang w:eastAsia="fr-FR"/>
        </w:rPr>
        <w:t>s l’injection du premier rappel</w:t>
      </w:r>
      <w:r w:rsidR="00C84EE8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ou après la dernière infection.</w:t>
      </w:r>
    </w:p>
    <w:p w:rsidR="00C84EE8" w:rsidRPr="00201E6E" w:rsidRDefault="00C84EE8" w:rsidP="00201E6E">
      <w:pPr>
        <w:shd w:val="clear" w:color="auto" w:fill="FFFFFF"/>
        <w:spacing w:after="30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Les professionnels de santé de proximité demeurent impliqués dans la campagne de vaccination.</w:t>
      </w:r>
    </w:p>
    <w:p w:rsidR="0078051E" w:rsidRDefault="008F3E7E" w:rsidP="00CC4DE3">
      <w:pPr>
        <w:jc w:val="both"/>
        <w:rPr>
          <w:rFonts w:ascii="Marianne" w:hAnsi="Marianne" w:cs="Calibri"/>
          <w:sz w:val="20"/>
          <w:szCs w:val="20"/>
        </w:rPr>
      </w:pPr>
      <w:r w:rsidRPr="008F3E7E">
        <w:rPr>
          <w:rFonts w:ascii="Marianne" w:hAnsi="Marianne" w:cs="Calibri"/>
          <w:sz w:val="20"/>
          <w:szCs w:val="20"/>
        </w:rPr>
        <w:t xml:space="preserve">Depuis </w:t>
      </w:r>
      <w:r>
        <w:rPr>
          <w:rFonts w:ascii="Marianne" w:hAnsi="Marianne" w:cs="Calibri"/>
          <w:sz w:val="20"/>
          <w:szCs w:val="20"/>
        </w:rPr>
        <w:t>mars 2020</w:t>
      </w:r>
      <w:r w:rsidRPr="008F3E7E">
        <w:rPr>
          <w:rFonts w:ascii="Marianne" w:hAnsi="Marianne" w:cs="Calibri"/>
          <w:sz w:val="20"/>
          <w:szCs w:val="20"/>
        </w:rPr>
        <w:t xml:space="preserve">, </w:t>
      </w:r>
      <w:r w:rsidR="00201E6E">
        <w:rPr>
          <w:rFonts w:ascii="Marianne" w:hAnsi="Marianne" w:cs="Calibri"/>
          <w:sz w:val="20"/>
          <w:szCs w:val="20"/>
        </w:rPr>
        <w:t>6</w:t>
      </w:r>
      <w:r w:rsidR="00201E6E">
        <w:rPr>
          <w:rFonts w:ascii="Calibri" w:hAnsi="Calibri" w:cs="Calibri"/>
          <w:sz w:val="20"/>
          <w:szCs w:val="20"/>
        </w:rPr>
        <w:t> </w:t>
      </w:r>
      <w:r w:rsidR="00201E6E">
        <w:rPr>
          <w:rFonts w:ascii="Marianne" w:hAnsi="Marianne" w:cs="Calibri"/>
          <w:sz w:val="20"/>
          <w:szCs w:val="20"/>
        </w:rPr>
        <w:t xml:space="preserve">212 personnes sont décédées dans les établissements de santé de la région des suites d’une forme sévère de la COVID </w:t>
      </w:r>
      <w:r w:rsidRPr="008F3E7E">
        <w:rPr>
          <w:rFonts w:ascii="Marianne" w:hAnsi="Marianne" w:cs="Calibri"/>
          <w:sz w:val="20"/>
          <w:szCs w:val="20"/>
        </w:rPr>
        <w:t>;</w:t>
      </w:r>
      <w:r w:rsidR="009C0928" w:rsidRPr="008F3E7E">
        <w:rPr>
          <w:rFonts w:ascii="Marianne" w:hAnsi="Marianne"/>
          <w:sz w:val="20"/>
          <w:szCs w:val="20"/>
        </w:rPr>
        <w:t xml:space="preserve"> </w:t>
      </w:r>
      <w:r w:rsidR="003D548E" w:rsidRPr="008F3E7E">
        <w:rPr>
          <w:rFonts w:ascii="Marianne" w:hAnsi="Marianne"/>
          <w:sz w:val="20"/>
          <w:szCs w:val="20"/>
        </w:rPr>
        <w:t>2 4</w:t>
      </w:r>
      <w:r w:rsidR="00B76B99">
        <w:rPr>
          <w:rFonts w:ascii="Marianne" w:hAnsi="Marianne"/>
          <w:sz w:val="20"/>
          <w:szCs w:val="20"/>
        </w:rPr>
        <w:t>6</w:t>
      </w:r>
      <w:r w:rsidR="003D548E" w:rsidRPr="008F3E7E">
        <w:rPr>
          <w:rFonts w:ascii="Marianne" w:hAnsi="Marianne"/>
          <w:sz w:val="20"/>
          <w:szCs w:val="20"/>
        </w:rPr>
        <w:t>1</w:t>
      </w:r>
      <w:r w:rsidR="00CC4DE3" w:rsidRPr="008F3E7E">
        <w:rPr>
          <w:rFonts w:ascii="Marianne" w:hAnsi="Marianne"/>
          <w:sz w:val="20"/>
          <w:szCs w:val="20"/>
        </w:rPr>
        <w:t xml:space="preserve"> </w:t>
      </w:r>
      <w:r w:rsidR="00201E6E">
        <w:rPr>
          <w:rFonts w:ascii="Marianne" w:hAnsi="Marianne"/>
          <w:sz w:val="20"/>
          <w:szCs w:val="20"/>
        </w:rPr>
        <w:t>dans les établissements</w:t>
      </w:r>
      <w:r w:rsidR="00CC4DE3" w:rsidRPr="008F3E7E">
        <w:rPr>
          <w:rFonts w:ascii="Marianne" w:hAnsi="Marianne"/>
          <w:sz w:val="20"/>
          <w:szCs w:val="20"/>
        </w:rPr>
        <w:t xml:space="preserve"> médico-sociaux</w:t>
      </w:r>
      <w:r w:rsidRPr="008F3E7E">
        <w:rPr>
          <w:rFonts w:ascii="Marianne" w:hAnsi="Marianne" w:cs="Calibri"/>
          <w:sz w:val="20"/>
          <w:szCs w:val="20"/>
        </w:rPr>
        <w:t xml:space="preserve">. </w:t>
      </w:r>
    </w:p>
    <w:p w:rsidR="008F3E7E" w:rsidRDefault="008F3E7E" w:rsidP="00CC4DE3">
      <w:pPr>
        <w:jc w:val="both"/>
        <w:rPr>
          <w:rFonts w:ascii="Marianne" w:hAnsi="Marianne" w:cs="Calibri"/>
          <w:sz w:val="20"/>
          <w:szCs w:val="20"/>
        </w:rPr>
      </w:pPr>
    </w:p>
    <w:p w:rsidR="008F3E7E" w:rsidRPr="008F3E7E" w:rsidRDefault="008F3E7E" w:rsidP="00CC4DE3">
      <w:pPr>
        <w:jc w:val="both"/>
        <w:rPr>
          <w:rFonts w:ascii="Marianne" w:hAnsi="Marianne" w:cs="Calibri"/>
          <w:sz w:val="20"/>
          <w:szCs w:val="20"/>
        </w:rPr>
      </w:pPr>
    </w:p>
    <w:p w:rsidR="00ED644E" w:rsidRDefault="00ED644E" w:rsidP="00201E6E">
      <w:pPr>
        <w:pStyle w:val="Corps"/>
        <w:spacing w:after="240"/>
      </w:pPr>
    </w:p>
    <w:p w:rsidR="00ED644E" w:rsidRDefault="00ED644E" w:rsidP="00147CDF">
      <w:pPr>
        <w:pStyle w:val="Corps"/>
        <w:spacing w:after="240"/>
        <w:jc w:val="center"/>
      </w:pPr>
    </w:p>
    <w:p w:rsidR="00D6477C" w:rsidRDefault="00D6477C" w:rsidP="006145D1">
      <w:pPr>
        <w:pStyle w:val="Corps"/>
        <w:rPr>
          <w:b/>
        </w:rPr>
      </w:pPr>
    </w:p>
    <w:sectPr w:rsidR="00D6477C" w:rsidSect="00F040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9A" w:rsidRDefault="00992A9A" w:rsidP="006410E9">
      <w:pPr>
        <w:spacing w:after="0" w:line="240" w:lineRule="auto"/>
      </w:pPr>
      <w:r>
        <w:separator/>
      </w:r>
    </w:p>
  </w:endnote>
  <w:endnote w:type="continuationSeparator" w:id="0">
    <w:p w:rsidR="00992A9A" w:rsidRDefault="00992A9A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Pr="006145D1" w:rsidRDefault="00F040E2" w:rsidP="00F040E2">
    <w:pPr>
      <w:pStyle w:val="Contacts"/>
    </w:pPr>
    <w:r w:rsidRPr="006145D1">
      <w:t>Contacts presse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9A" w:rsidRDefault="00992A9A" w:rsidP="006410E9">
      <w:pPr>
        <w:spacing w:after="0" w:line="240" w:lineRule="auto"/>
      </w:pPr>
      <w:r>
        <w:separator/>
      </w:r>
    </w:p>
  </w:footnote>
  <w:footnote w:type="continuationSeparator" w:id="0">
    <w:p w:rsidR="00992A9A" w:rsidRDefault="00992A9A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56367"/>
    <w:rsid w:val="0006245C"/>
    <w:rsid w:val="000778BA"/>
    <w:rsid w:val="00093B66"/>
    <w:rsid w:val="000D0213"/>
    <w:rsid w:val="000D4881"/>
    <w:rsid w:val="00114CBF"/>
    <w:rsid w:val="001156AA"/>
    <w:rsid w:val="00115A37"/>
    <w:rsid w:val="001362CC"/>
    <w:rsid w:val="00147CDF"/>
    <w:rsid w:val="00152DF2"/>
    <w:rsid w:val="001556F8"/>
    <w:rsid w:val="0016298C"/>
    <w:rsid w:val="00174988"/>
    <w:rsid w:val="00184956"/>
    <w:rsid w:val="001C0260"/>
    <w:rsid w:val="001C429F"/>
    <w:rsid w:val="00201E6E"/>
    <w:rsid w:val="00205E1E"/>
    <w:rsid w:val="00234928"/>
    <w:rsid w:val="00250035"/>
    <w:rsid w:val="002802A6"/>
    <w:rsid w:val="002A76A5"/>
    <w:rsid w:val="002C3D33"/>
    <w:rsid w:val="00311003"/>
    <w:rsid w:val="00330141"/>
    <w:rsid w:val="003457E4"/>
    <w:rsid w:val="00356E52"/>
    <w:rsid w:val="00370A33"/>
    <w:rsid w:val="00375830"/>
    <w:rsid w:val="003841F2"/>
    <w:rsid w:val="003A3B71"/>
    <w:rsid w:val="003D02E4"/>
    <w:rsid w:val="003D548E"/>
    <w:rsid w:val="004260B9"/>
    <w:rsid w:val="004C3797"/>
    <w:rsid w:val="004E2E77"/>
    <w:rsid w:val="00513BCA"/>
    <w:rsid w:val="005169C5"/>
    <w:rsid w:val="005521D9"/>
    <w:rsid w:val="00554E5C"/>
    <w:rsid w:val="005624A2"/>
    <w:rsid w:val="005678B0"/>
    <w:rsid w:val="005756DD"/>
    <w:rsid w:val="005834F9"/>
    <w:rsid w:val="00593BC4"/>
    <w:rsid w:val="005A4F5D"/>
    <w:rsid w:val="005D5FA6"/>
    <w:rsid w:val="006145D1"/>
    <w:rsid w:val="00615C5D"/>
    <w:rsid w:val="006242A1"/>
    <w:rsid w:val="00624CDC"/>
    <w:rsid w:val="00626F4D"/>
    <w:rsid w:val="006410E9"/>
    <w:rsid w:val="006768FC"/>
    <w:rsid w:val="00677C1E"/>
    <w:rsid w:val="0069030F"/>
    <w:rsid w:val="006B1299"/>
    <w:rsid w:val="006C26F7"/>
    <w:rsid w:val="006D3359"/>
    <w:rsid w:val="0071459B"/>
    <w:rsid w:val="00743907"/>
    <w:rsid w:val="007628CF"/>
    <w:rsid w:val="00776377"/>
    <w:rsid w:val="0078051E"/>
    <w:rsid w:val="00782AFD"/>
    <w:rsid w:val="00790A62"/>
    <w:rsid w:val="00793D8A"/>
    <w:rsid w:val="007A0288"/>
    <w:rsid w:val="007A0CE7"/>
    <w:rsid w:val="007D2035"/>
    <w:rsid w:val="007E7761"/>
    <w:rsid w:val="00831D44"/>
    <w:rsid w:val="00844054"/>
    <w:rsid w:val="00860FAD"/>
    <w:rsid w:val="00865825"/>
    <w:rsid w:val="008705D8"/>
    <w:rsid w:val="008E0039"/>
    <w:rsid w:val="008E17CC"/>
    <w:rsid w:val="008F231F"/>
    <w:rsid w:val="008F2CB4"/>
    <w:rsid w:val="008F3E7E"/>
    <w:rsid w:val="008F688C"/>
    <w:rsid w:val="0094277D"/>
    <w:rsid w:val="00947774"/>
    <w:rsid w:val="00966A17"/>
    <w:rsid w:val="00980135"/>
    <w:rsid w:val="00992A9A"/>
    <w:rsid w:val="009958CF"/>
    <w:rsid w:val="009B13B7"/>
    <w:rsid w:val="009B1754"/>
    <w:rsid w:val="009B781C"/>
    <w:rsid w:val="009C0928"/>
    <w:rsid w:val="009C7607"/>
    <w:rsid w:val="009D3731"/>
    <w:rsid w:val="009E6F55"/>
    <w:rsid w:val="00A2604D"/>
    <w:rsid w:val="00A3770C"/>
    <w:rsid w:val="00A57E15"/>
    <w:rsid w:val="00A74C7E"/>
    <w:rsid w:val="00AE05FD"/>
    <w:rsid w:val="00B00780"/>
    <w:rsid w:val="00B72BC3"/>
    <w:rsid w:val="00B76B99"/>
    <w:rsid w:val="00BB71D6"/>
    <w:rsid w:val="00BC4CA7"/>
    <w:rsid w:val="00BE3CB5"/>
    <w:rsid w:val="00BF5E23"/>
    <w:rsid w:val="00C030F5"/>
    <w:rsid w:val="00C1115F"/>
    <w:rsid w:val="00C15AFB"/>
    <w:rsid w:val="00C47252"/>
    <w:rsid w:val="00C849E5"/>
    <w:rsid w:val="00C84EE8"/>
    <w:rsid w:val="00CC4DE3"/>
    <w:rsid w:val="00CD4145"/>
    <w:rsid w:val="00CD5BC1"/>
    <w:rsid w:val="00CD5D13"/>
    <w:rsid w:val="00D13E41"/>
    <w:rsid w:val="00D2209E"/>
    <w:rsid w:val="00D334CD"/>
    <w:rsid w:val="00D6477C"/>
    <w:rsid w:val="00D8358B"/>
    <w:rsid w:val="00D8564D"/>
    <w:rsid w:val="00DA1442"/>
    <w:rsid w:val="00DA5E20"/>
    <w:rsid w:val="00DE4BA6"/>
    <w:rsid w:val="00DF6887"/>
    <w:rsid w:val="00E213A4"/>
    <w:rsid w:val="00E47A5C"/>
    <w:rsid w:val="00E83896"/>
    <w:rsid w:val="00EB1828"/>
    <w:rsid w:val="00EB726B"/>
    <w:rsid w:val="00EC3743"/>
    <w:rsid w:val="00ED644E"/>
    <w:rsid w:val="00ED7704"/>
    <w:rsid w:val="00F040E2"/>
    <w:rsid w:val="00F14E7D"/>
    <w:rsid w:val="00F5658A"/>
    <w:rsid w:val="00F739AD"/>
    <w:rsid w:val="00F75815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E9402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802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1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8040-D17B-497C-AFBB-0A619190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10</cp:revision>
  <cp:lastPrinted>2022-04-15T15:34:00Z</cp:lastPrinted>
  <dcterms:created xsi:type="dcterms:W3CDTF">2022-04-15T08:23:00Z</dcterms:created>
  <dcterms:modified xsi:type="dcterms:W3CDTF">2022-04-15T15:34:00Z</dcterms:modified>
</cp:coreProperties>
</file>