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29811" w14:textId="77777777" w:rsidR="00743907" w:rsidRDefault="00743907" w:rsidP="00743907"/>
    <w:p w14:paraId="1B608225" w14:textId="77777777" w:rsidR="00743907" w:rsidRPr="00743907" w:rsidRDefault="00743907" w:rsidP="00743907"/>
    <w:p w14:paraId="606D813C" w14:textId="77777777" w:rsidR="00743907" w:rsidRDefault="00743907" w:rsidP="00743907"/>
    <w:p w14:paraId="6403B2B0" w14:textId="77777777" w:rsidR="001871DC" w:rsidRDefault="00743907" w:rsidP="00743907">
      <w:pPr>
        <w:pStyle w:val="TITRE1"/>
      </w:pPr>
      <w:r>
        <w:t>COMMUNIQUE DE PRESSE</w:t>
      </w:r>
    </w:p>
    <w:p w14:paraId="7CEAE63F" w14:textId="1FA1C01E" w:rsidR="00743907" w:rsidRDefault="001556F8" w:rsidP="00743907">
      <w:pPr>
        <w:pStyle w:val="DateCP"/>
      </w:pPr>
      <w:r>
        <w:t xml:space="preserve">Dijon, le </w:t>
      </w:r>
      <w:r w:rsidR="003457E4">
        <w:t>4 mars</w:t>
      </w:r>
      <w:r w:rsidR="00743907">
        <w:t xml:space="preserve"> 2022</w:t>
      </w:r>
    </w:p>
    <w:p w14:paraId="5A8FF6B2" w14:textId="77777777" w:rsidR="00743907" w:rsidRDefault="00743907" w:rsidP="00743907">
      <w:pPr>
        <w:pStyle w:val="TITRE20"/>
      </w:pPr>
      <w:r>
        <w:t xml:space="preserve">COVID-19 EN BOURGOGNE </w:t>
      </w:r>
      <w:r w:rsidRPr="00743907">
        <w:t>FRANCHE</w:t>
      </w:r>
      <w:r>
        <w:t>-COMTE</w:t>
      </w:r>
      <w:r>
        <w:rPr>
          <w:rFonts w:ascii="Calibri" w:hAnsi="Calibri" w:cs="Calibri"/>
        </w:rPr>
        <w:t> </w:t>
      </w:r>
      <w:r>
        <w:t>:</w:t>
      </w:r>
    </w:p>
    <w:p w14:paraId="5FF7F596" w14:textId="7FC8A664" w:rsidR="00743907" w:rsidRDefault="003457E4" w:rsidP="00743907">
      <w:pPr>
        <w:pStyle w:val="Titre3"/>
      </w:pPr>
      <w:r>
        <w:t>L’épidémie en repli continu et généralisé</w:t>
      </w:r>
    </w:p>
    <w:p w14:paraId="535FBEB7" w14:textId="77777777" w:rsidR="00593BC4" w:rsidRDefault="00593BC4" w:rsidP="00AE05FD">
      <w:pPr>
        <w:pStyle w:val="Chap"/>
        <w:jc w:val="both"/>
        <w:rPr>
          <w:b w:val="0"/>
          <w:sz w:val="28"/>
        </w:rPr>
      </w:pPr>
    </w:p>
    <w:p w14:paraId="10F5B991" w14:textId="3CEFC236" w:rsidR="00AE05FD" w:rsidRDefault="00AE05FD" w:rsidP="00AE05FD">
      <w:pPr>
        <w:pStyle w:val="Chap"/>
        <w:jc w:val="both"/>
      </w:pPr>
      <w:r>
        <w:t xml:space="preserve">La circulation du virus recule </w:t>
      </w:r>
      <w:r w:rsidR="00330141">
        <w:t>e</w:t>
      </w:r>
      <w:r>
        <w:t xml:space="preserve">n tous points du territoire de Bourgogne-Franche-Comté ces derniers jours. Cette amélioration significative est liée aux efforts </w:t>
      </w:r>
      <w:r w:rsidR="00593BC4">
        <w:t>collectifs</w:t>
      </w:r>
      <w:r>
        <w:t xml:space="preserve"> qui permett</w:t>
      </w:r>
      <w:r w:rsidR="00593BC4">
        <w:t>ront</w:t>
      </w:r>
      <w:r>
        <w:t xml:space="preserve"> une nouvelle phase d’allègement des mesures le 14 mars. Il est encore possible de se faire vacciner.</w:t>
      </w:r>
    </w:p>
    <w:p w14:paraId="2D71F3FE" w14:textId="07AA3550" w:rsidR="003457E4" w:rsidRDefault="003457E4" w:rsidP="00D6477C">
      <w:pPr>
        <w:pStyle w:val="Chap"/>
        <w:jc w:val="both"/>
      </w:pPr>
    </w:p>
    <w:p w14:paraId="55C1AF85" w14:textId="2BD1E223" w:rsidR="003457E4" w:rsidRDefault="00EB1828" w:rsidP="003457E4">
      <w:pPr>
        <w:pStyle w:val="Corps"/>
        <w:jc w:val="both"/>
        <w:rPr>
          <w:rFonts w:ascii="Calibri" w:hAnsi="Calibri" w:cs="Calibri"/>
        </w:rPr>
      </w:pPr>
      <w:r>
        <w:t>La baisse de la circulation du virus s’est confirmée ces 7 derniers jours en Bourgogne-Franc</w:t>
      </w:r>
      <w:r w:rsidR="00513BCA">
        <w:t>h</w:t>
      </w:r>
      <w:r>
        <w:t xml:space="preserve">e-Comté </w:t>
      </w:r>
      <w:r w:rsidR="00330141">
        <w:t>conformément à la</w:t>
      </w:r>
      <w:r>
        <w:t xml:space="preserve"> tendance nationale qui permettra d’engager une nouvelle phase d’allègement des mesures sanitaires à compter du 14 mars.</w:t>
      </w:r>
    </w:p>
    <w:p w14:paraId="0E33AF0D" w14:textId="434137EE" w:rsidR="00593BC4" w:rsidRDefault="00AE05FD" w:rsidP="00593BC4">
      <w:pPr>
        <w:pStyle w:val="Corps"/>
        <w:spacing w:after="240"/>
        <w:jc w:val="both"/>
        <w:rPr>
          <w:szCs w:val="20"/>
        </w:rPr>
      </w:pPr>
      <w:r>
        <w:t xml:space="preserve">Le taux d’incidence en population générale </w:t>
      </w:r>
      <w:r w:rsidR="00330141">
        <w:t>est passé</w:t>
      </w:r>
      <w:r>
        <w:t xml:space="preserve"> en-dessous de la barre des 500 cas pour 100</w:t>
      </w:r>
      <w:r>
        <w:rPr>
          <w:rFonts w:ascii="Calibri" w:hAnsi="Calibri" w:cs="Calibri"/>
        </w:rPr>
        <w:t> </w:t>
      </w:r>
      <w:r w:rsidR="00593BC4">
        <w:t xml:space="preserve">000 habitants à l’échelle régionale.  </w:t>
      </w:r>
      <w:r w:rsidR="00EB1828" w:rsidRPr="00330141">
        <w:rPr>
          <w:szCs w:val="20"/>
        </w:rPr>
        <w:t>Ces perspectives ne doivent cependant pas faire oublier</w:t>
      </w:r>
      <w:r w:rsidRPr="00330141">
        <w:rPr>
          <w:szCs w:val="20"/>
        </w:rPr>
        <w:t xml:space="preserve"> le risque épidémique</w:t>
      </w:r>
      <w:r w:rsidR="00330141" w:rsidRPr="00330141">
        <w:rPr>
          <w:szCs w:val="20"/>
        </w:rPr>
        <w:t>,</w:t>
      </w:r>
      <w:r w:rsidRPr="00330141">
        <w:rPr>
          <w:szCs w:val="20"/>
        </w:rPr>
        <w:t xml:space="preserve"> alors</w:t>
      </w:r>
      <w:r w:rsidR="00EB1828" w:rsidRPr="00330141">
        <w:rPr>
          <w:szCs w:val="20"/>
        </w:rPr>
        <w:t xml:space="preserve"> que le taux de positivité des tests reste supérieur à 20%</w:t>
      </w:r>
      <w:r w:rsidR="0069030F">
        <w:rPr>
          <w:szCs w:val="20"/>
        </w:rPr>
        <w:t>.</w:t>
      </w:r>
    </w:p>
    <w:p w14:paraId="63C962FA" w14:textId="25AB6D07" w:rsidR="00593BC4" w:rsidRPr="00593BC4" w:rsidRDefault="00593BC4" w:rsidP="00593BC4">
      <w:pPr>
        <w:pStyle w:val="Corps"/>
        <w:spacing w:after="240"/>
        <w:jc w:val="both"/>
        <w:rPr>
          <w:szCs w:val="20"/>
        </w:rPr>
      </w:pPr>
      <w:r>
        <w:rPr>
          <w:szCs w:val="20"/>
        </w:rPr>
        <w:t xml:space="preserve">Les gestes auxquels nous </w:t>
      </w:r>
      <w:proofErr w:type="gramStart"/>
      <w:r>
        <w:rPr>
          <w:szCs w:val="20"/>
        </w:rPr>
        <w:t>sommes</w:t>
      </w:r>
      <w:proofErr w:type="gramEnd"/>
      <w:r w:rsidR="00EB1828" w:rsidRPr="00593BC4">
        <w:rPr>
          <w:szCs w:val="20"/>
        </w:rPr>
        <w:t xml:space="preserve"> sensibilisés depuis 2 ans gardent tout leur sens et leur efficacité</w:t>
      </w:r>
      <w:r w:rsidR="00EB1828" w:rsidRPr="00593BC4">
        <w:rPr>
          <w:rFonts w:ascii="Calibri" w:hAnsi="Calibri" w:cs="Calibri"/>
          <w:szCs w:val="20"/>
        </w:rPr>
        <w:t> </w:t>
      </w:r>
      <w:r w:rsidRPr="00593BC4">
        <w:rPr>
          <w:szCs w:val="20"/>
        </w:rPr>
        <w:t>dans notre vie quotidienne</w:t>
      </w:r>
      <w:r>
        <w:rPr>
          <w:szCs w:val="20"/>
        </w:rPr>
        <w:t xml:space="preserve">. </w:t>
      </w:r>
    </w:p>
    <w:p w14:paraId="7177CACA" w14:textId="10EFEFE1" w:rsidR="00593BC4" w:rsidRDefault="00593BC4" w:rsidP="003457E4">
      <w:pPr>
        <w:pStyle w:val="Corps"/>
        <w:jc w:val="both"/>
      </w:pPr>
      <w:r w:rsidRPr="00593BC4">
        <w:rPr>
          <w:noProof/>
          <w:lang w:eastAsia="fr-FR"/>
        </w:rPr>
        <w:drawing>
          <wp:inline distT="0" distB="0" distL="0" distR="0" wp14:anchorId="534EB936" wp14:editId="01608A98">
            <wp:extent cx="5691217" cy="3708000"/>
            <wp:effectExtent l="0" t="0" r="508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17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70A435F" w14:textId="380B7D47" w:rsidR="00593BC4" w:rsidRPr="00593BC4" w:rsidRDefault="00593BC4" w:rsidP="00593BC4">
      <w:pPr>
        <w:pStyle w:val="Corps"/>
        <w:spacing w:after="240"/>
        <w:jc w:val="both"/>
        <w:rPr>
          <w:szCs w:val="20"/>
        </w:rPr>
      </w:pPr>
      <w:r>
        <w:lastRenderedPageBreak/>
        <w:t>La cinquième vague de l’épidémie n’est pas encore derrière les hôpitaux de la région, dont les équipes</w:t>
      </w:r>
      <w:r w:rsidRPr="00593BC4">
        <w:t xml:space="preserve"> </w:t>
      </w:r>
      <w:r w:rsidR="0069030F">
        <w:t xml:space="preserve">prennent en charge </w:t>
      </w:r>
      <w:r>
        <w:t>toujours plus de 500 personnes hospitalisées en raison d’une forme sévère de la maladie.</w:t>
      </w:r>
    </w:p>
    <w:p w14:paraId="6BD6B6B0" w14:textId="6ABE66BB" w:rsidR="00EB1828" w:rsidRDefault="00593BC4" w:rsidP="003457E4">
      <w:pPr>
        <w:pStyle w:val="Corps"/>
        <w:jc w:val="both"/>
        <w:rPr>
          <w:b/>
        </w:rPr>
      </w:pPr>
      <w:r w:rsidRPr="00593BC4">
        <w:rPr>
          <w:b/>
        </w:rPr>
        <w:t>Maillage des centres adapté aux besoins</w:t>
      </w:r>
    </w:p>
    <w:p w14:paraId="25780347" w14:textId="77777777" w:rsidR="00593BC4" w:rsidRPr="00593BC4" w:rsidRDefault="00593BC4" w:rsidP="003457E4">
      <w:pPr>
        <w:pStyle w:val="Corps"/>
        <w:jc w:val="both"/>
        <w:rPr>
          <w:b/>
        </w:rPr>
      </w:pPr>
    </w:p>
    <w:p w14:paraId="18C86945" w14:textId="66A310E5" w:rsidR="00EB1828" w:rsidRDefault="00EB1828" w:rsidP="00EB182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Compte-tenu des résultats de la campagne de vaccination et </w:t>
      </w:r>
      <w:r w:rsidRPr="004260B9">
        <w:rPr>
          <w:rFonts w:ascii="Marianne" w:hAnsi="Marianne"/>
          <w:sz w:val="20"/>
          <w:szCs w:val="20"/>
        </w:rPr>
        <w:t>de la diminution des besoins, le maillage des centres</w:t>
      </w:r>
      <w:r>
        <w:rPr>
          <w:rFonts w:ascii="Marianne" w:hAnsi="Marianne"/>
          <w:sz w:val="20"/>
          <w:szCs w:val="20"/>
        </w:rPr>
        <w:t xml:space="preserve"> de vaccination</w:t>
      </w:r>
      <w:r w:rsidRPr="004260B9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continue d’évoluer pour s’adapter au niveau d’activité.</w:t>
      </w:r>
      <w:r>
        <w:rPr>
          <w:rFonts w:ascii="Calibri" w:hAnsi="Calibri" w:cs="Calibri"/>
          <w:sz w:val="20"/>
          <w:szCs w:val="20"/>
        </w:rPr>
        <w:t> </w:t>
      </w:r>
    </w:p>
    <w:p w14:paraId="16ED5001" w14:textId="28F7DD3E" w:rsidR="00AE05FD" w:rsidRDefault="00EB1828" w:rsidP="00AE05FD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L’ARS rappelle qu’il est toujours </w:t>
      </w:r>
      <w:r w:rsidRPr="004260B9">
        <w:rPr>
          <w:rFonts w:ascii="Marianne" w:hAnsi="Marianne"/>
          <w:sz w:val="20"/>
          <w:szCs w:val="20"/>
        </w:rPr>
        <w:t xml:space="preserve">possible de se faire vacciner, facilement et rapidement, en proximité, auprès des professionnels de ville qui </w:t>
      </w:r>
      <w:r>
        <w:rPr>
          <w:rFonts w:ascii="Marianne" w:hAnsi="Marianne"/>
          <w:sz w:val="20"/>
          <w:szCs w:val="20"/>
        </w:rPr>
        <w:t xml:space="preserve">demeurent </w:t>
      </w:r>
      <w:r w:rsidRPr="004260B9">
        <w:rPr>
          <w:rFonts w:ascii="Marianne" w:hAnsi="Marianne"/>
          <w:sz w:val="20"/>
          <w:szCs w:val="20"/>
        </w:rPr>
        <w:t>pleinement engagés dans la campagne</w:t>
      </w:r>
      <w:r w:rsidRPr="004260B9">
        <w:rPr>
          <w:rFonts w:ascii="Calibri" w:hAnsi="Calibri" w:cs="Calibri"/>
          <w:sz w:val="20"/>
          <w:szCs w:val="20"/>
        </w:rPr>
        <w:t> </w:t>
      </w:r>
      <w:r w:rsidRPr="004260B9">
        <w:rPr>
          <w:rFonts w:ascii="Marianne" w:hAnsi="Marianne"/>
          <w:sz w:val="20"/>
          <w:szCs w:val="20"/>
        </w:rPr>
        <w:t>: mé</w:t>
      </w:r>
      <w:r w:rsidR="00AE05FD">
        <w:rPr>
          <w:rFonts w:ascii="Marianne" w:hAnsi="Marianne"/>
          <w:sz w:val="20"/>
          <w:szCs w:val="20"/>
        </w:rPr>
        <w:t>decins, pharmaciens, infirmiers…</w:t>
      </w:r>
      <w:r w:rsidR="00330141">
        <w:rPr>
          <w:rFonts w:ascii="Marianne" w:hAnsi="Marianne"/>
          <w:sz w:val="20"/>
          <w:szCs w:val="20"/>
        </w:rPr>
        <w:t>(</w:t>
      </w:r>
      <w:r w:rsidR="00AE05FD">
        <w:rPr>
          <w:rFonts w:ascii="Marianne" w:hAnsi="Marianne"/>
          <w:sz w:val="20"/>
          <w:szCs w:val="20"/>
        </w:rPr>
        <w:t xml:space="preserve">liste complète sur le site </w:t>
      </w:r>
      <w:hyperlink r:id="rId8" w:history="1">
        <w:r w:rsidR="00AE05FD" w:rsidRPr="001231A7">
          <w:rPr>
            <w:rStyle w:val="Lienhypertexte"/>
            <w:rFonts w:ascii="Marianne" w:hAnsi="Marianne"/>
            <w:sz w:val="20"/>
            <w:szCs w:val="20"/>
          </w:rPr>
          <w:t>santé.fr</w:t>
        </w:r>
      </w:hyperlink>
      <w:r w:rsidR="00330141">
        <w:rPr>
          <w:rFonts w:ascii="Marianne" w:hAnsi="Marianne"/>
          <w:sz w:val="20"/>
          <w:szCs w:val="20"/>
        </w:rPr>
        <w:t>)</w:t>
      </w:r>
    </w:p>
    <w:p w14:paraId="5E1379F5" w14:textId="6F3CBBEE" w:rsidR="00AE05FD" w:rsidRDefault="00AE05FD" w:rsidP="00AE05FD">
      <w:pPr>
        <w:spacing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Pour mémoire, la vaccination est ouverte à tous à partir de 5 ans. Quant au rappel vaccinal, il est accessible à toutes les personnes de 18 </w:t>
      </w:r>
      <w:r w:rsidR="0069030F">
        <w:rPr>
          <w:rFonts w:ascii="Marianne" w:hAnsi="Marianne"/>
          <w:sz w:val="20"/>
          <w:szCs w:val="20"/>
        </w:rPr>
        <w:t xml:space="preserve">ans </w:t>
      </w:r>
      <w:r>
        <w:rPr>
          <w:rFonts w:ascii="Marianne" w:hAnsi="Marianne"/>
          <w:sz w:val="20"/>
          <w:szCs w:val="20"/>
        </w:rPr>
        <w:t>et plus</w:t>
      </w:r>
      <w:r w:rsidR="00FC7585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 xml:space="preserve"> dès 3 mois après la dernière injection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; ainsi qu’aux adolescents de 12 à 17 ans</w:t>
      </w:r>
      <w:r w:rsidR="00FC7585">
        <w:rPr>
          <w:rFonts w:ascii="Marianne" w:hAnsi="Marianne"/>
          <w:sz w:val="20"/>
          <w:szCs w:val="20"/>
        </w:rPr>
        <w:t>,</w:t>
      </w:r>
      <w:bookmarkStart w:id="0" w:name="_GoBack"/>
      <w:bookmarkEnd w:id="0"/>
      <w:r>
        <w:rPr>
          <w:rFonts w:ascii="Marianne" w:hAnsi="Marianne"/>
          <w:sz w:val="20"/>
          <w:szCs w:val="20"/>
        </w:rPr>
        <w:t xml:space="preserve"> dès 6 mois après la dernière injection.</w:t>
      </w:r>
    </w:p>
    <w:p w14:paraId="03E976EE" w14:textId="280C39D4" w:rsidR="00EB1828" w:rsidRPr="008E17CC" w:rsidRDefault="00EB1828" w:rsidP="00EB1828">
      <w:pPr>
        <w:pStyle w:val="Corps"/>
        <w:jc w:val="both"/>
      </w:pPr>
      <w:r w:rsidRPr="008E17CC">
        <w:t>Depuis le début de l’épidém</w:t>
      </w:r>
      <w:r w:rsidR="00330141">
        <w:t xml:space="preserve">ie en Bourgogne-Franche-Comté, </w:t>
      </w:r>
      <w:r w:rsidR="00C15AFB">
        <w:t>5 967</w:t>
      </w:r>
      <w:r w:rsidR="00330141">
        <w:t xml:space="preserve"> p</w:t>
      </w:r>
      <w:r w:rsidRPr="008E17CC">
        <w:t>ersonnes sont décédées à l’hôpital</w:t>
      </w:r>
      <w:r w:rsidRPr="008E17CC">
        <w:rPr>
          <w:rFonts w:ascii="Calibri" w:hAnsi="Calibri" w:cs="Calibri"/>
        </w:rPr>
        <w:t> </w:t>
      </w:r>
      <w:r w:rsidRPr="008E17CC">
        <w:rPr>
          <w:rFonts w:cs="Calibri"/>
        </w:rPr>
        <w:t>des suites d’une forme sévère de la maladie</w:t>
      </w:r>
      <w:r>
        <w:rPr>
          <w:rFonts w:cs="Calibri"/>
        </w:rPr>
        <w:t xml:space="preserve"> </w:t>
      </w:r>
      <w:r w:rsidRPr="008E17CC">
        <w:t>; 2</w:t>
      </w:r>
      <w:r w:rsidRPr="008E17CC">
        <w:rPr>
          <w:rFonts w:ascii="Calibri" w:hAnsi="Calibri" w:cs="Calibri"/>
        </w:rPr>
        <w:t> </w:t>
      </w:r>
      <w:r w:rsidRPr="008E17CC">
        <w:t>4</w:t>
      </w:r>
      <w:r>
        <w:t>14</w:t>
      </w:r>
      <w:r w:rsidRPr="008E17CC">
        <w:t xml:space="preserve"> en établissements médico-sociaux.</w:t>
      </w:r>
    </w:p>
    <w:p w14:paraId="6CE92AAC" w14:textId="77777777" w:rsidR="00EB1828" w:rsidRPr="004260B9" w:rsidRDefault="00EB1828" w:rsidP="00EB1828">
      <w:pPr>
        <w:jc w:val="both"/>
        <w:rPr>
          <w:rFonts w:ascii="Marianne" w:hAnsi="Marianne"/>
          <w:sz w:val="20"/>
          <w:szCs w:val="20"/>
        </w:rPr>
      </w:pPr>
    </w:p>
    <w:p w14:paraId="27CBEFF7" w14:textId="77777777" w:rsidR="003457E4" w:rsidRDefault="003457E4" w:rsidP="00D6477C">
      <w:pPr>
        <w:pStyle w:val="Chap"/>
        <w:jc w:val="both"/>
      </w:pPr>
    </w:p>
    <w:p w14:paraId="32D3E85A" w14:textId="77777777" w:rsidR="006145D1" w:rsidRDefault="006145D1" w:rsidP="00D6477C">
      <w:pPr>
        <w:pStyle w:val="Chap"/>
        <w:jc w:val="both"/>
      </w:pPr>
    </w:p>
    <w:p w14:paraId="62AF88BD" w14:textId="6D9D5B47" w:rsidR="00D6477C" w:rsidRDefault="00D6477C" w:rsidP="006145D1">
      <w:pPr>
        <w:pStyle w:val="Corps"/>
        <w:rPr>
          <w:b/>
        </w:rPr>
      </w:pPr>
    </w:p>
    <w:sectPr w:rsidR="00D6477C" w:rsidSect="00F040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737A1" w14:textId="77777777" w:rsidR="008C1DF8" w:rsidRDefault="008C1DF8" w:rsidP="006410E9">
      <w:pPr>
        <w:spacing w:after="0" w:line="240" w:lineRule="auto"/>
      </w:pPr>
      <w:r>
        <w:separator/>
      </w:r>
    </w:p>
  </w:endnote>
  <w:endnote w:type="continuationSeparator" w:id="0">
    <w:p w14:paraId="797A7CE6" w14:textId="77777777" w:rsidR="008C1DF8" w:rsidRDefault="008C1DF8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22020" w14:textId="77777777" w:rsidR="006145D1" w:rsidRPr="006145D1" w:rsidRDefault="006145D1" w:rsidP="006145D1">
    <w:pPr>
      <w:pStyle w:val="Contacts"/>
    </w:pPr>
    <w:r w:rsidRPr="006145D1">
      <w:t>Contacts presse</w:t>
    </w:r>
  </w:p>
  <w:p w14:paraId="57F72D7C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4098E149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4407954C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71F74E09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14:paraId="3779AFC6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14:paraId="52590630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14:paraId="3C4F2F50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E97" w14:textId="77777777" w:rsidR="00F040E2" w:rsidRPr="006145D1" w:rsidRDefault="00F040E2" w:rsidP="00F040E2">
    <w:pPr>
      <w:pStyle w:val="Contacts"/>
    </w:pPr>
    <w:r w:rsidRPr="006145D1">
      <w:t>Contacts presse</w:t>
    </w:r>
  </w:p>
  <w:p w14:paraId="38E5742F" w14:textId="77777777"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55A6F3EF" w14:textId="77777777"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00E8EEE5" w14:textId="77777777"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03217D38" w14:textId="77777777"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</w:p>
  <w:p w14:paraId="36CD7F66" w14:textId="77777777"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14:paraId="049D37EC" w14:textId="77777777"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14:paraId="1E770505" w14:textId="77777777"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FC305" w14:textId="77777777" w:rsidR="008C1DF8" w:rsidRDefault="008C1DF8" w:rsidP="006410E9">
      <w:pPr>
        <w:spacing w:after="0" w:line="240" w:lineRule="auto"/>
      </w:pPr>
      <w:r>
        <w:separator/>
      </w:r>
    </w:p>
  </w:footnote>
  <w:footnote w:type="continuationSeparator" w:id="0">
    <w:p w14:paraId="40AEC6B0" w14:textId="77777777" w:rsidR="008C1DF8" w:rsidRDefault="008C1DF8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F5B3" w14:textId="77777777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5ED2A" w14:textId="77777777" w:rsidR="00F040E2" w:rsidRDefault="00F040E2">
    <w:pPr>
      <w:pStyle w:val="En-tte"/>
    </w:pPr>
    <w:r w:rsidRPr="006145D1">
      <w:rPr>
        <w:rStyle w:val="PieddepageCar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4BEE9530" wp14:editId="1ADE3D5D">
          <wp:simplePos x="0" y="0"/>
          <wp:positionH relativeFrom="margin">
            <wp:posOffset>-609600</wp:posOffset>
          </wp:positionH>
          <wp:positionV relativeFrom="paragraph">
            <wp:posOffset>-354330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56367"/>
    <w:rsid w:val="0006245C"/>
    <w:rsid w:val="00093B66"/>
    <w:rsid w:val="000D0213"/>
    <w:rsid w:val="001156AA"/>
    <w:rsid w:val="00115A37"/>
    <w:rsid w:val="00152DF2"/>
    <w:rsid w:val="001556F8"/>
    <w:rsid w:val="00250035"/>
    <w:rsid w:val="002A76A5"/>
    <w:rsid w:val="00311003"/>
    <w:rsid w:val="00330141"/>
    <w:rsid w:val="003457E4"/>
    <w:rsid w:val="00370A33"/>
    <w:rsid w:val="00375830"/>
    <w:rsid w:val="003A3B71"/>
    <w:rsid w:val="003D02E4"/>
    <w:rsid w:val="004260B9"/>
    <w:rsid w:val="004E2E77"/>
    <w:rsid w:val="00513BCA"/>
    <w:rsid w:val="00593BC4"/>
    <w:rsid w:val="006145D1"/>
    <w:rsid w:val="00615C5D"/>
    <w:rsid w:val="006242A1"/>
    <w:rsid w:val="00624CDC"/>
    <w:rsid w:val="006410E9"/>
    <w:rsid w:val="006768FC"/>
    <w:rsid w:val="0069030F"/>
    <w:rsid w:val="006B1299"/>
    <w:rsid w:val="00743907"/>
    <w:rsid w:val="007628CF"/>
    <w:rsid w:val="007D2035"/>
    <w:rsid w:val="00844054"/>
    <w:rsid w:val="008C1DF8"/>
    <w:rsid w:val="008E0039"/>
    <w:rsid w:val="008E17CC"/>
    <w:rsid w:val="008F688C"/>
    <w:rsid w:val="0094277D"/>
    <w:rsid w:val="009958CF"/>
    <w:rsid w:val="009B13B7"/>
    <w:rsid w:val="009B781C"/>
    <w:rsid w:val="009C7607"/>
    <w:rsid w:val="00AE05FD"/>
    <w:rsid w:val="00B00780"/>
    <w:rsid w:val="00B72BC3"/>
    <w:rsid w:val="00BE3CB5"/>
    <w:rsid w:val="00BF5E23"/>
    <w:rsid w:val="00C1115F"/>
    <w:rsid w:val="00C15AFB"/>
    <w:rsid w:val="00C849E5"/>
    <w:rsid w:val="00D6477C"/>
    <w:rsid w:val="00D8358B"/>
    <w:rsid w:val="00D8564D"/>
    <w:rsid w:val="00DF6887"/>
    <w:rsid w:val="00EB1828"/>
    <w:rsid w:val="00EB726B"/>
    <w:rsid w:val="00EC3743"/>
    <w:rsid w:val="00ED7704"/>
    <w:rsid w:val="00F040E2"/>
    <w:rsid w:val="00F14E7D"/>
    <w:rsid w:val="00F5658A"/>
    <w:rsid w:val="00F739AD"/>
    <w:rsid w:val="00F75815"/>
    <w:rsid w:val="00F97AAD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7FF38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customStyle="1" w:styleId="Default">
    <w:name w:val="Default"/>
    <w:rsid w:val="00BF5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81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427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7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27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7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77D"/>
    <w:rPr>
      <w:b/>
      <w:bCs/>
      <w:sz w:val="20"/>
      <w:szCs w:val="20"/>
    </w:rPr>
  </w:style>
  <w:style w:type="character" w:customStyle="1" w:styleId="css-901oao">
    <w:name w:val="css-901oao"/>
    <w:basedOn w:val="Policepardfaut"/>
    <w:rsid w:val="003457E4"/>
  </w:style>
  <w:style w:type="character" w:styleId="Lienhypertextesuivivisit">
    <w:name w:val="FollowedHyperlink"/>
    <w:basedOn w:val="Policepardfaut"/>
    <w:uiPriority w:val="99"/>
    <w:semiHidden/>
    <w:unhideWhenUsed/>
    <w:rsid w:val="00330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5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07048904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19060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409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e.fr/cf/centres-vaccination-covi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47E24-A0F9-43E9-BB06-FF4D8B1C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15</cp:revision>
  <dcterms:created xsi:type="dcterms:W3CDTF">2022-03-04T10:01:00Z</dcterms:created>
  <dcterms:modified xsi:type="dcterms:W3CDTF">2022-03-04T17:12:00Z</dcterms:modified>
</cp:coreProperties>
</file>