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BE573B" w:rsidRPr="00743907" w:rsidRDefault="00BE573B" w:rsidP="00BE573B">
      <w:pPr>
        <w:pStyle w:val="TITRE1"/>
      </w:pPr>
      <w:r>
        <w:t>COMMUNIQUE DE PRESSE</w:t>
      </w:r>
    </w:p>
    <w:p w:rsidR="00BE573B" w:rsidRDefault="00BE573B" w:rsidP="00BE573B"/>
    <w:p w:rsidR="00BE573B" w:rsidRDefault="00BE573B" w:rsidP="00BE573B">
      <w:pPr>
        <w:pStyle w:val="DateCP"/>
      </w:pPr>
      <w:r>
        <w:t xml:space="preserve">Dijon, le </w:t>
      </w:r>
      <w:r w:rsidR="00176CA4">
        <w:t>28</w:t>
      </w:r>
      <w:r>
        <w:t xml:space="preserve"> juin 2022</w:t>
      </w:r>
    </w:p>
    <w:p w:rsidR="00BE573B" w:rsidRDefault="00BE573B" w:rsidP="00BE573B">
      <w:pPr>
        <w:pStyle w:val="Titre3"/>
        <w:jc w:val="both"/>
        <w:rPr>
          <w:sz w:val="24"/>
          <w:szCs w:val="24"/>
        </w:rPr>
      </w:pPr>
    </w:p>
    <w:p w:rsidR="00BE573B" w:rsidRPr="00951BAC" w:rsidRDefault="00BE573B" w:rsidP="00BE573B">
      <w:pPr>
        <w:pStyle w:val="Titre3"/>
        <w:jc w:val="both"/>
        <w:rPr>
          <w:sz w:val="24"/>
          <w:szCs w:val="24"/>
        </w:rPr>
      </w:pPr>
      <w:r>
        <w:rPr>
          <w:sz w:val="24"/>
          <w:szCs w:val="24"/>
        </w:rPr>
        <w:t>CONTRÔLE SANITAIRE PAR L’ARS</w:t>
      </w:r>
      <w:r>
        <w:rPr>
          <w:rFonts w:ascii="Calibri" w:hAnsi="Calibri" w:cs="Calibri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:rsidR="00BE573B" w:rsidRDefault="00BE573B" w:rsidP="00BE573B">
      <w:pPr>
        <w:pStyle w:val="Titre3"/>
        <w:jc w:val="both"/>
        <w:rPr>
          <w:sz w:val="28"/>
        </w:rPr>
      </w:pPr>
      <w:r>
        <w:rPr>
          <w:sz w:val="28"/>
        </w:rPr>
        <w:t>Quel bilan de la qualité de l’eau de consommation humaine en Bourgogne-Franche-Comté</w:t>
      </w:r>
      <w:r>
        <w:rPr>
          <w:rFonts w:ascii="Calibri" w:hAnsi="Calibri" w:cs="Calibri"/>
          <w:sz w:val="28"/>
        </w:rPr>
        <w:t> </w:t>
      </w:r>
      <w:r>
        <w:rPr>
          <w:sz w:val="28"/>
        </w:rPr>
        <w:t>?</w:t>
      </w:r>
    </w:p>
    <w:p w:rsidR="00BE573B" w:rsidRPr="00743907" w:rsidRDefault="00BE573B" w:rsidP="00BE573B">
      <w:pPr>
        <w:pStyle w:val="Titre3"/>
        <w:rPr>
          <w:sz w:val="28"/>
        </w:rPr>
      </w:pPr>
    </w:p>
    <w:p w:rsidR="00BE573B" w:rsidRDefault="00BE573B" w:rsidP="00BE573B">
      <w:pPr>
        <w:pStyle w:val="Chap"/>
        <w:jc w:val="both"/>
      </w:pPr>
      <w:r>
        <w:t>L’ARS Bourgogne-Franche-Comté publie son bilan annuel du contrôle sanitaire des eaux destinées à la consommati</w:t>
      </w:r>
      <w:bookmarkStart w:id="0" w:name="_GoBack"/>
      <w:bookmarkEnd w:id="0"/>
      <w:r>
        <w:t>on humaine. Qualité microbiologique, turbidité, nitrates, pesticides</w:t>
      </w:r>
      <w:r>
        <w:rPr>
          <w:rFonts w:ascii="Calibri" w:hAnsi="Calibri" w:cs="Calibri"/>
        </w:rPr>
        <w:t> </w:t>
      </w:r>
      <w:r>
        <w:t>: les chiffres 2021.</w:t>
      </w:r>
    </w:p>
    <w:p w:rsidR="00BE573B" w:rsidRDefault="00BE573B" w:rsidP="00BE573B">
      <w:pPr>
        <w:pStyle w:val="Chap"/>
      </w:pPr>
    </w:p>
    <w:p w:rsidR="00BE573B" w:rsidRDefault="00BE573B" w:rsidP="00BE573B">
      <w:pPr>
        <w:pStyle w:val="Corps"/>
        <w:jc w:val="both"/>
      </w:pPr>
      <w:r>
        <w:t>Pour contribuer à une meilleure information du grand public sur un sujet qui figure au cœur de ses préoccupations liées à la santé et à l’environnement, l’ARS publie un bilan annuel de la qualité des eaux destinées à la consommation humaine en Bourgogne-Franche-Comté.</w:t>
      </w:r>
    </w:p>
    <w:p w:rsidR="00BE573B" w:rsidRPr="00275964" w:rsidRDefault="00BE573B" w:rsidP="00BE573B">
      <w:pPr>
        <w:pStyle w:val="Corps"/>
        <w:jc w:val="both"/>
        <w:rPr>
          <w:i/>
        </w:rPr>
      </w:pPr>
      <w:r>
        <w:t xml:space="preserve">La synthèse 2021 est désormais </w:t>
      </w:r>
      <w:r w:rsidR="00275964">
        <w:t xml:space="preserve">disponible sur le </w:t>
      </w:r>
      <w:hyperlink r:id="rId8" w:history="1">
        <w:r w:rsidR="00275964" w:rsidRPr="00275964">
          <w:rPr>
            <w:rStyle w:val="Lienhypertexte"/>
          </w:rPr>
          <w:t>site de l’Agenc</w:t>
        </w:r>
        <w:r w:rsidR="00275964" w:rsidRPr="00275964">
          <w:rPr>
            <w:rStyle w:val="Lienhypertexte"/>
          </w:rPr>
          <w:t>e Régionale de Santé</w:t>
        </w:r>
      </w:hyperlink>
      <w:r w:rsidR="00275964">
        <w:t>.</w:t>
      </w:r>
      <w:r>
        <w:t xml:space="preserve"> L’occasion de mieux appréhender les différents paramètres passés au crible sur l’ensemble du territoire régional.</w:t>
      </w:r>
    </w:p>
    <w:p w:rsidR="00BE573B" w:rsidRDefault="00BE573B" w:rsidP="00BE573B">
      <w:pPr>
        <w:pStyle w:val="Corps"/>
        <w:jc w:val="both"/>
      </w:pPr>
    </w:p>
    <w:p w:rsidR="00BE573B" w:rsidRPr="00191188" w:rsidRDefault="00BE573B" w:rsidP="00BE573B">
      <w:pPr>
        <w:pStyle w:val="Corps"/>
        <w:jc w:val="both"/>
        <w:rPr>
          <w:b/>
        </w:rPr>
      </w:pPr>
      <w:r>
        <w:rPr>
          <w:b/>
        </w:rPr>
        <w:t>Des unités de distribution de petite taille</w:t>
      </w:r>
    </w:p>
    <w:p w:rsidR="00BE573B" w:rsidRPr="00191188" w:rsidRDefault="00BE573B" w:rsidP="00BE573B">
      <w:pPr>
        <w:pStyle w:val="Corps"/>
        <w:jc w:val="both"/>
        <w:rPr>
          <w:b/>
        </w:rPr>
      </w:pPr>
    </w:p>
    <w:p w:rsidR="00BE573B" w:rsidRDefault="00BE573B" w:rsidP="00BE573B">
      <w:pPr>
        <w:pStyle w:val="Corps"/>
        <w:jc w:val="both"/>
        <w:rPr>
          <w:rFonts w:ascii="Calibri" w:hAnsi="Calibri" w:cs="Calibri"/>
        </w:rPr>
      </w:pPr>
      <w:r>
        <w:t>Principaux enseignements</w:t>
      </w:r>
      <w:r>
        <w:rPr>
          <w:rFonts w:ascii="Calibri" w:hAnsi="Calibri" w:cs="Calibri"/>
        </w:rPr>
        <w:t> </w:t>
      </w:r>
      <w:r>
        <w:t xml:space="preserve">: en Bourgogne-Franche-Comté, l’alimentation en eau potable est assurée par </w:t>
      </w:r>
      <w:r w:rsidRPr="00191188">
        <w:rPr>
          <w:b/>
        </w:rPr>
        <w:t>plus de 2</w:t>
      </w:r>
      <w:r w:rsidRPr="00191188">
        <w:rPr>
          <w:rFonts w:ascii="Calibri" w:hAnsi="Calibri" w:cs="Calibri"/>
          <w:b/>
        </w:rPr>
        <w:t> </w:t>
      </w:r>
      <w:r w:rsidRPr="00191188">
        <w:rPr>
          <w:b/>
        </w:rPr>
        <w:t>000 unités de distribution</w:t>
      </w:r>
      <w:r w:rsidR="00CD31CD">
        <w:rPr>
          <w:b/>
        </w:rPr>
        <w:t>,</w:t>
      </w:r>
      <w:r w:rsidRPr="00191188">
        <w:rPr>
          <w:b/>
        </w:rPr>
        <w:t xml:space="preserve"> dont près de 80% sont de petite taille</w:t>
      </w:r>
      <w:r>
        <w:t xml:space="preserve"> et alimentent moins de 1</w:t>
      </w:r>
      <w:r>
        <w:rPr>
          <w:rFonts w:ascii="Calibri" w:hAnsi="Calibri" w:cs="Calibri"/>
        </w:rPr>
        <w:t> </w:t>
      </w:r>
      <w:r>
        <w:t>000 habitants</w:t>
      </w:r>
      <w:r>
        <w:rPr>
          <w:rFonts w:ascii="Calibri" w:hAnsi="Calibri" w:cs="Calibri"/>
        </w:rPr>
        <w:t>.</w:t>
      </w:r>
    </w:p>
    <w:p w:rsidR="00BE573B" w:rsidRDefault="00BE573B" w:rsidP="00BE573B">
      <w:pPr>
        <w:pStyle w:val="Corps"/>
        <w:jc w:val="both"/>
        <w:rPr>
          <w:rFonts w:cs="Calibri"/>
        </w:rPr>
      </w:pPr>
      <w:r w:rsidRPr="00191188">
        <w:rPr>
          <w:rFonts w:cs="Calibri"/>
          <w:b/>
        </w:rPr>
        <w:t>97% de la région a été alimentée par une eau de très bonne qualité microbiologique en 2021.</w:t>
      </w:r>
      <w:r>
        <w:rPr>
          <w:rFonts w:cs="Calibri"/>
        </w:rPr>
        <w:t xml:space="preserve"> Ce sont majoritairement les petites unités de distribution qui délivrent une eau de qualité insuffisante, mais les actions engagées par l’ARS</w:t>
      </w:r>
      <w:r w:rsidR="00725892">
        <w:rPr>
          <w:rFonts w:cs="Calibri"/>
        </w:rPr>
        <w:t xml:space="preserve"> en lien étroit avec les préfectures</w:t>
      </w:r>
      <w:r>
        <w:rPr>
          <w:rFonts w:cs="Calibri"/>
        </w:rPr>
        <w:t xml:space="preserve"> portent leurs fruits car les collectivités concernées étaient 40 en 2021, contre 74 en 2018.</w:t>
      </w: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  <w:r>
        <w:rPr>
          <w:rFonts w:cs="Calibri"/>
        </w:rPr>
        <w:t xml:space="preserve">En 2021, un peu </w:t>
      </w:r>
      <w:r w:rsidRPr="00191188">
        <w:rPr>
          <w:rFonts w:cs="Calibri"/>
          <w:b/>
        </w:rPr>
        <w:t>plus de 93% de la population a été alimentée par une eau de bonne qualité vis-à-vis de la turbidité</w:t>
      </w:r>
      <w:r>
        <w:rPr>
          <w:rFonts w:cs="Calibri"/>
        </w:rPr>
        <w:t xml:space="preserve"> (teneur de l’eau en matières qui la troublent), chiffre en retrait au regard des améliorations constatées les années précédentes (98% en 2020), mais qui s’explique, au moins en partie, par un mois de juillet 2021 particulièrement pluvieux.</w:t>
      </w: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  <w:r>
        <w:rPr>
          <w:rFonts w:cs="Calibri"/>
        </w:rPr>
        <w:t xml:space="preserve">S’agissant des </w:t>
      </w:r>
      <w:r w:rsidRPr="00191188">
        <w:rPr>
          <w:rFonts w:cs="Calibri"/>
          <w:b/>
        </w:rPr>
        <w:t>nitrates</w:t>
      </w:r>
      <w:r>
        <w:rPr>
          <w:rFonts w:cs="Calibri"/>
        </w:rPr>
        <w:t xml:space="preserve">, dont la limite de qualité réglementaire est fixée à 50 mg/L, </w:t>
      </w:r>
      <w:r w:rsidRPr="00191188">
        <w:rPr>
          <w:rFonts w:cs="Calibri"/>
          <w:b/>
        </w:rPr>
        <w:t>plus de 99% de la population régionale</w:t>
      </w:r>
      <w:r>
        <w:rPr>
          <w:rFonts w:cs="Calibri"/>
        </w:rPr>
        <w:t xml:space="preserve"> a été alimentée par une eau dont la teneur moyenne en nitrates respectait cette </w:t>
      </w:r>
      <w:r w:rsidR="00D70BC3">
        <w:rPr>
          <w:rFonts w:cs="Calibri"/>
        </w:rPr>
        <w:t>norme</w:t>
      </w:r>
      <w:r>
        <w:rPr>
          <w:rFonts w:cs="Calibri"/>
        </w:rPr>
        <w:t>.</w:t>
      </w:r>
      <w:r w:rsidR="00725892">
        <w:rPr>
          <w:rFonts w:cs="Calibri"/>
        </w:rPr>
        <w:t xml:space="preserve"> Pour autant</w:t>
      </w:r>
      <w:r w:rsidR="00CD31CD">
        <w:rPr>
          <w:rFonts w:cs="Calibri"/>
        </w:rPr>
        <w:t>,</w:t>
      </w:r>
      <w:r w:rsidR="00725892">
        <w:rPr>
          <w:rFonts w:cs="Calibri"/>
        </w:rPr>
        <w:t xml:space="preserve"> </w:t>
      </w:r>
      <w:r w:rsidR="00C35C1A">
        <w:rPr>
          <w:rFonts w:cs="Calibri"/>
        </w:rPr>
        <w:t xml:space="preserve">26 </w:t>
      </w:r>
      <w:r w:rsidR="00CD31CD">
        <w:rPr>
          <w:rFonts w:cs="Calibri"/>
        </w:rPr>
        <w:t>u</w:t>
      </w:r>
      <w:r w:rsidR="00C35C1A">
        <w:rPr>
          <w:rFonts w:cs="Calibri"/>
        </w:rPr>
        <w:t>nités de distribution</w:t>
      </w:r>
      <w:r w:rsidR="00725892">
        <w:rPr>
          <w:rFonts w:cs="Calibri"/>
        </w:rPr>
        <w:t xml:space="preserve"> présente</w:t>
      </w:r>
      <w:r w:rsidR="00C35C1A">
        <w:rPr>
          <w:rFonts w:cs="Calibri"/>
        </w:rPr>
        <w:t>nt</w:t>
      </w:r>
      <w:r w:rsidR="00725892">
        <w:rPr>
          <w:rFonts w:cs="Calibri"/>
        </w:rPr>
        <w:t xml:space="preserve"> encore des dépassements de la limite de qualité </w:t>
      </w:r>
      <w:r w:rsidR="00C35C1A">
        <w:rPr>
          <w:rFonts w:cs="Calibri"/>
        </w:rPr>
        <w:t xml:space="preserve">nécessitant la mise en place d’actions préventives et curatives </w:t>
      </w:r>
      <w:r w:rsidR="00725892">
        <w:rPr>
          <w:rFonts w:cs="Calibri"/>
        </w:rPr>
        <w:t>d’amélioration de la qualité de l’eau.</w:t>
      </w: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  <w:r>
        <w:rPr>
          <w:rFonts w:cs="Calibri"/>
        </w:rPr>
        <w:t xml:space="preserve">Depuis 2018, l’ARS a complété la liste des pesticides recherchés dans l’eau destinée à la consommation humaine avec une liste de nombreux métabolites, produits de dégradation et de réaction. </w:t>
      </w:r>
    </w:p>
    <w:p w:rsidR="00BE573B" w:rsidRDefault="00BE573B" w:rsidP="00BE573B">
      <w:pPr>
        <w:pStyle w:val="Corps"/>
        <w:jc w:val="both"/>
        <w:rPr>
          <w:rFonts w:cs="Calibri"/>
        </w:rPr>
      </w:pPr>
      <w:r>
        <w:rPr>
          <w:rFonts w:cs="Calibri"/>
        </w:rPr>
        <w:t xml:space="preserve">En 2021, </w:t>
      </w:r>
      <w:r w:rsidRPr="000B4B08">
        <w:rPr>
          <w:rFonts w:cs="Calibri"/>
          <w:b/>
        </w:rPr>
        <w:t>un peu plus de 17% de la population de Bourgogne-Franche-Comté était desservie par une eau pouvant présenter une teneur excessive en pesticides et/ou métabolites pertinents de façon ponctuelle ou récurrente</w:t>
      </w:r>
      <w:r>
        <w:rPr>
          <w:rFonts w:cs="Calibri"/>
        </w:rPr>
        <w:t xml:space="preserve">. </w:t>
      </w:r>
      <w:r w:rsidR="00725892">
        <w:rPr>
          <w:rFonts w:cs="Calibri"/>
        </w:rPr>
        <w:t xml:space="preserve">Des </w:t>
      </w:r>
      <w:r>
        <w:rPr>
          <w:rFonts w:cs="Calibri"/>
        </w:rPr>
        <w:t>restriction</w:t>
      </w:r>
      <w:r w:rsidR="00725892">
        <w:rPr>
          <w:rFonts w:cs="Calibri"/>
        </w:rPr>
        <w:t>s</w:t>
      </w:r>
      <w:r>
        <w:rPr>
          <w:rFonts w:cs="Calibri"/>
        </w:rPr>
        <w:t xml:space="preserve"> de consommation de l’eau </w:t>
      </w:r>
      <w:r w:rsidR="00725892">
        <w:rPr>
          <w:rFonts w:cs="Calibri"/>
        </w:rPr>
        <w:t>ont</w:t>
      </w:r>
      <w:r>
        <w:rPr>
          <w:rFonts w:cs="Calibri"/>
        </w:rPr>
        <w:t xml:space="preserve"> été prononcée</w:t>
      </w:r>
      <w:r w:rsidR="00725892">
        <w:rPr>
          <w:rFonts w:cs="Calibri"/>
        </w:rPr>
        <w:t>s</w:t>
      </w:r>
      <w:r>
        <w:rPr>
          <w:rFonts w:cs="Calibri"/>
        </w:rPr>
        <w:t xml:space="preserve"> pour un peu plus de 2</w:t>
      </w:r>
      <w:r>
        <w:rPr>
          <w:rFonts w:ascii="Calibri" w:hAnsi="Calibri" w:cs="Calibri"/>
        </w:rPr>
        <w:t> </w:t>
      </w:r>
      <w:r>
        <w:rPr>
          <w:rFonts w:cs="Calibri"/>
        </w:rPr>
        <w:t>500 habitants.</w:t>
      </w: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  <w:b/>
        </w:rPr>
      </w:pPr>
      <w:r>
        <w:rPr>
          <w:rFonts w:cs="Calibri"/>
        </w:rPr>
        <w:t>Enfin, s’agissant de la dureté de l’eau, qui n’a pas d’impact direct sur la santé</w:t>
      </w:r>
      <w:r w:rsidR="00D70BC3">
        <w:rPr>
          <w:rFonts w:cs="Calibri"/>
        </w:rPr>
        <w:t xml:space="preserve"> </w:t>
      </w:r>
      <w:r>
        <w:rPr>
          <w:rFonts w:cs="Calibri"/>
        </w:rPr>
        <w:t xml:space="preserve">mais sur les canalisations, les résistances des appareils électroménagers et les équipements sanitaires, à noter que près de </w:t>
      </w:r>
      <w:r w:rsidRPr="000B4B08">
        <w:rPr>
          <w:rFonts w:cs="Calibri"/>
          <w:b/>
        </w:rPr>
        <w:t>80% de la population de la région a été alimentée en 2021 par une eau dure ou très dure (sous-sol calcaire)</w:t>
      </w:r>
      <w:r>
        <w:rPr>
          <w:rFonts w:cs="Calibri"/>
          <w:b/>
        </w:rPr>
        <w:t>.</w:t>
      </w:r>
    </w:p>
    <w:p w:rsidR="00CD31CD" w:rsidRDefault="00CD31CD" w:rsidP="00BE573B">
      <w:pPr>
        <w:pStyle w:val="Corps"/>
        <w:jc w:val="both"/>
        <w:rPr>
          <w:rFonts w:cs="Calibri"/>
          <w:b/>
        </w:rPr>
      </w:pPr>
    </w:p>
    <w:p w:rsidR="00CD31CD" w:rsidRPr="00BE573B" w:rsidRDefault="00CD31CD" w:rsidP="00CD31CD">
      <w:pPr>
        <w:pStyle w:val="Corps"/>
        <w:jc w:val="both"/>
        <w:rPr>
          <w:rFonts w:cs="Calibri"/>
          <w:b/>
        </w:rPr>
      </w:pPr>
      <w:r w:rsidRPr="00BE573B">
        <w:rPr>
          <w:rFonts w:cs="Calibri"/>
          <w:b/>
        </w:rPr>
        <w:t>Protection des captages</w:t>
      </w:r>
      <w:r w:rsidRPr="00BE573B">
        <w:rPr>
          <w:rFonts w:ascii="Calibri" w:hAnsi="Calibri" w:cs="Calibri"/>
          <w:b/>
        </w:rPr>
        <w:t> </w:t>
      </w:r>
      <w:r w:rsidRPr="00BE573B">
        <w:rPr>
          <w:rFonts w:cs="Calibri"/>
          <w:b/>
        </w:rPr>
        <w:t>: une progression lente mais continue</w:t>
      </w:r>
    </w:p>
    <w:p w:rsidR="00CD31CD" w:rsidRPr="000B4B08" w:rsidRDefault="00CD31CD" w:rsidP="00BE573B">
      <w:pPr>
        <w:pStyle w:val="Corps"/>
        <w:jc w:val="both"/>
        <w:rPr>
          <w:rFonts w:cs="Calibri"/>
          <w:b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  <w:r>
        <w:rPr>
          <w:rFonts w:cs="Calibri"/>
        </w:rPr>
        <w:t xml:space="preserve">L’action de l’ARS porte également sur la </w:t>
      </w:r>
      <w:r w:rsidRPr="000B4B08">
        <w:rPr>
          <w:rFonts w:cs="Calibri"/>
          <w:b/>
        </w:rPr>
        <w:t>protection des captages</w:t>
      </w:r>
      <w:r>
        <w:rPr>
          <w:rFonts w:cs="Calibri"/>
        </w:rPr>
        <w:t xml:space="preserve"> d’eau des collectivités, dont la progression est lente mais continue. A l’échelle régionale, fin 2021, plus de 86% des captages bénéficient ainsi de périmètres de protection déclarés d’utilité publique, un chiffre en progrès de plus de 7 points en 4 ans.</w:t>
      </w: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Default="00BE573B" w:rsidP="00BE573B">
      <w:pPr>
        <w:pStyle w:val="Corps"/>
        <w:jc w:val="both"/>
        <w:rPr>
          <w:rFonts w:cs="Calibri"/>
        </w:rPr>
      </w:pPr>
    </w:p>
    <w:p w:rsidR="00BE573B" w:rsidRPr="00D94397" w:rsidRDefault="00BE573B" w:rsidP="00BE573B">
      <w:pPr>
        <w:pStyle w:val="Corps"/>
        <w:jc w:val="both"/>
      </w:pPr>
    </w:p>
    <w:p w:rsidR="00BE573B" w:rsidRDefault="00BE573B" w:rsidP="00BE573B">
      <w:pPr>
        <w:pStyle w:val="Corps"/>
        <w:jc w:val="both"/>
      </w:pPr>
    </w:p>
    <w:p w:rsidR="00BE573B" w:rsidRPr="006145D1" w:rsidRDefault="00BE573B" w:rsidP="00BE573B">
      <w:pPr>
        <w:pStyle w:val="Corps"/>
        <w:jc w:val="both"/>
      </w:pPr>
    </w:p>
    <w:p w:rsidR="005F482C" w:rsidRPr="006642D4" w:rsidRDefault="005F482C" w:rsidP="00BE573B">
      <w:pPr>
        <w:pStyle w:val="TITRE20"/>
        <w:rPr>
          <w:rFonts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13" w:rsidRDefault="00066613" w:rsidP="006410E9">
      <w:pPr>
        <w:spacing w:after="0" w:line="240" w:lineRule="auto"/>
      </w:pPr>
      <w:r>
        <w:separator/>
      </w:r>
    </w:p>
  </w:endnote>
  <w:endnote w:type="continuationSeparator" w:id="0">
    <w:p w:rsidR="00066613" w:rsidRDefault="00066613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13" w:rsidRDefault="00066613" w:rsidP="006410E9">
      <w:pPr>
        <w:spacing w:after="0" w:line="240" w:lineRule="auto"/>
      </w:pPr>
      <w:r>
        <w:separator/>
      </w:r>
    </w:p>
  </w:footnote>
  <w:footnote w:type="continuationSeparator" w:id="0">
    <w:p w:rsidR="00066613" w:rsidRDefault="00066613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D84"/>
    <w:multiLevelType w:val="hybridMultilevel"/>
    <w:tmpl w:val="C078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D7F3B"/>
    <w:multiLevelType w:val="hybridMultilevel"/>
    <w:tmpl w:val="B12A1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43AF0"/>
    <w:multiLevelType w:val="hybridMultilevel"/>
    <w:tmpl w:val="96420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37866"/>
    <w:rsid w:val="00052791"/>
    <w:rsid w:val="00056367"/>
    <w:rsid w:val="0006245C"/>
    <w:rsid w:val="00066613"/>
    <w:rsid w:val="000778BA"/>
    <w:rsid w:val="00093B66"/>
    <w:rsid w:val="000D0213"/>
    <w:rsid w:val="000D35BC"/>
    <w:rsid w:val="000D4881"/>
    <w:rsid w:val="001002FE"/>
    <w:rsid w:val="00114CBF"/>
    <w:rsid w:val="001156AA"/>
    <w:rsid w:val="00115A37"/>
    <w:rsid w:val="00122027"/>
    <w:rsid w:val="00133C73"/>
    <w:rsid w:val="001362CC"/>
    <w:rsid w:val="00147CDF"/>
    <w:rsid w:val="00152DF2"/>
    <w:rsid w:val="001535D0"/>
    <w:rsid w:val="001556F8"/>
    <w:rsid w:val="00162808"/>
    <w:rsid w:val="0016298C"/>
    <w:rsid w:val="001703E9"/>
    <w:rsid w:val="00171C93"/>
    <w:rsid w:val="00174988"/>
    <w:rsid w:val="00176CA4"/>
    <w:rsid w:val="00184956"/>
    <w:rsid w:val="00184B8F"/>
    <w:rsid w:val="001905DC"/>
    <w:rsid w:val="001B3593"/>
    <w:rsid w:val="001C0260"/>
    <w:rsid w:val="001C429F"/>
    <w:rsid w:val="001D239F"/>
    <w:rsid w:val="00200A82"/>
    <w:rsid w:val="00205E1E"/>
    <w:rsid w:val="00234928"/>
    <w:rsid w:val="00250035"/>
    <w:rsid w:val="00254487"/>
    <w:rsid w:val="002565BF"/>
    <w:rsid w:val="00275964"/>
    <w:rsid w:val="002A637B"/>
    <w:rsid w:val="002A76A5"/>
    <w:rsid w:val="002B273A"/>
    <w:rsid w:val="002C3D33"/>
    <w:rsid w:val="002C4CD2"/>
    <w:rsid w:val="002E02F2"/>
    <w:rsid w:val="002F433C"/>
    <w:rsid w:val="002F7BAC"/>
    <w:rsid w:val="00311003"/>
    <w:rsid w:val="00330141"/>
    <w:rsid w:val="0033478B"/>
    <w:rsid w:val="003457E4"/>
    <w:rsid w:val="00356E52"/>
    <w:rsid w:val="003608BC"/>
    <w:rsid w:val="00370A33"/>
    <w:rsid w:val="00375830"/>
    <w:rsid w:val="003841F2"/>
    <w:rsid w:val="003A3B71"/>
    <w:rsid w:val="003B1465"/>
    <w:rsid w:val="003B2068"/>
    <w:rsid w:val="003D02E4"/>
    <w:rsid w:val="003D548E"/>
    <w:rsid w:val="004061BE"/>
    <w:rsid w:val="004260B9"/>
    <w:rsid w:val="004403F4"/>
    <w:rsid w:val="00442F46"/>
    <w:rsid w:val="004801A9"/>
    <w:rsid w:val="00487CC5"/>
    <w:rsid w:val="004B29B6"/>
    <w:rsid w:val="004C3797"/>
    <w:rsid w:val="004E2E77"/>
    <w:rsid w:val="00500B58"/>
    <w:rsid w:val="00503540"/>
    <w:rsid w:val="00513BCA"/>
    <w:rsid w:val="005169C5"/>
    <w:rsid w:val="00531C53"/>
    <w:rsid w:val="005521D9"/>
    <w:rsid w:val="00554E5C"/>
    <w:rsid w:val="005624A2"/>
    <w:rsid w:val="0056400C"/>
    <w:rsid w:val="005678B0"/>
    <w:rsid w:val="005739E4"/>
    <w:rsid w:val="005756DD"/>
    <w:rsid w:val="005834F9"/>
    <w:rsid w:val="00591413"/>
    <w:rsid w:val="00593BC4"/>
    <w:rsid w:val="005A4F5D"/>
    <w:rsid w:val="005D5FA6"/>
    <w:rsid w:val="005F482C"/>
    <w:rsid w:val="006145D1"/>
    <w:rsid w:val="00615C5D"/>
    <w:rsid w:val="006242A1"/>
    <w:rsid w:val="00624CDC"/>
    <w:rsid w:val="006368E8"/>
    <w:rsid w:val="006410E9"/>
    <w:rsid w:val="00643E2E"/>
    <w:rsid w:val="006607E5"/>
    <w:rsid w:val="006642D4"/>
    <w:rsid w:val="006768FC"/>
    <w:rsid w:val="00677C1E"/>
    <w:rsid w:val="0069030F"/>
    <w:rsid w:val="006B1299"/>
    <w:rsid w:val="006C26F7"/>
    <w:rsid w:val="006D0530"/>
    <w:rsid w:val="006D3359"/>
    <w:rsid w:val="006F13B4"/>
    <w:rsid w:val="0071459B"/>
    <w:rsid w:val="00717B23"/>
    <w:rsid w:val="00725892"/>
    <w:rsid w:val="00743907"/>
    <w:rsid w:val="007628CF"/>
    <w:rsid w:val="00764DF4"/>
    <w:rsid w:val="0078051E"/>
    <w:rsid w:val="00782AFD"/>
    <w:rsid w:val="00790A62"/>
    <w:rsid w:val="00793D8A"/>
    <w:rsid w:val="007947CA"/>
    <w:rsid w:val="007A0CE7"/>
    <w:rsid w:val="007D2035"/>
    <w:rsid w:val="007D7B04"/>
    <w:rsid w:val="0080396E"/>
    <w:rsid w:val="00827F10"/>
    <w:rsid w:val="00831D44"/>
    <w:rsid w:val="00844054"/>
    <w:rsid w:val="00860FAD"/>
    <w:rsid w:val="008617BF"/>
    <w:rsid w:val="00865825"/>
    <w:rsid w:val="008705D8"/>
    <w:rsid w:val="008800C7"/>
    <w:rsid w:val="008875C1"/>
    <w:rsid w:val="008E0039"/>
    <w:rsid w:val="008E17CC"/>
    <w:rsid w:val="008F1345"/>
    <w:rsid w:val="008F231F"/>
    <w:rsid w:val="008F2CB4"/>
    <w:rsid w:val="008F3E7E"/>
    <w:rsid w:val="008F548B"/>
    <w:rsid w:val="008F688C"/>
    <w:rsid w:val="00905B7A"/>
    <w:rsid w:val="0091581D"/>
    <w:rsid w:val="00922814"/>
    <w:rsid w:val="00933CBD"/>
    <w:rsid w:val="00940425"/>
    <w:rsid w:val="0094277D"/>
    <w:rsid w:val="00947774"/>
    <w:rsid w:val="00961419"/>
    <w:rsid w:val="00971DB3"/>
    <w:rsid w:val="00980135"/>
    <w:rsid w:val="0098418B"/>
    <w:rsid w:val="00993723"/>
    <w:rsid w:val="00993BD8"/>
    <w:rsid w:val="009958CF"/>
    <w:rsid w:val="009B13B7"/>
    <w:rsid w:val="009B1754"/>
    <w:rsid w:val="009B781C"/>
    <w:rsid w:val="009C0928"/>
    <w:rsid w:val="009C6C2E"/>
    <w:rsid w:val="009C7607"/>
    <w:rsid w:val="009C7F68"/>
    <w:rsid w:val="009D3731"/>
    <w:rsid w:val="009E4B88"/>
    <w:rsid w:val="009E6F55"/>
    <w:rsid w:val="00A2604D"/>
    <w:rsid w:val="00A3770C"/>
    <w:rsid w:val="00A42FDD"/>
    <w:rsid w:val="00A57E15"/>
    <w:rsid w:val="00A74C7E"/>
    <w:rsid w:val="00AB103D"/>
    <w:rsid w:val="00AB2FF6"/>
    <w:rsid w:val="00AC3428"/>
    <w:rsid w:val="00AD7C8D"/>
    <w:rsid w:val="00AE05FD"/>
    <w:rsid w:val="00B00780"/>
    <w:rsid w:val="00B212D5"/>
    <w:rsid w:val="00B40DCB"/>
    <w:rsid w:val="00B72BC3"/>
    <w:rsid w:val="00B86C30"/>
    <w:rsid w:val="00BC068D"/>
    <w:rsid w:val="00BC4CA7"/>
    <w:rsid w:val="00BE3CB5"/>
    <w:rsid w:val="00BE573B"/>
    <w:rsid w:val="00BF3A1E"/>
    <w:rsid w:val="00BF4BD9"/>
    <w:rsid w:val="00BF5E23"/>
    <w:rsid w:val="00C030F5"/>
    <w:rsid w:val="00C05FF8"/>
    <w:rsid w:val="00C1115F"/>
    <w:rsid w:val="00C15AFB"/>
    <w:rsid w:val="00C21C34"/>
    <w:rsid w:val="00C23C45"/>
    <w:rsid w:val="00C35C1A"/>
    <w:rsid w:val="00C4034F"/>
    <w:rsid w:val="00C47252"/>
    <w:rsid w:val="00C54E4F"/>
    <w:rsid w:val="00C5701D"/>
    <w:rsid w:val="00C628D2"/>
    <w:rsid w:val="00C67892"/>
    <w:rsid w:val="00C849E5"/>
    <w:rsid w:val="00CA4E8A"/>
    <w:rsid w:val="00CB4C76"/>
    <w:rsid w:val="00CC4DE3"/>
    <w:rsid w:val="00CD31CD"/>
    <w:rsid w:val="00CD4145"/>
    <w:rsid w:val="00CD5BC1"/>
    <w:rsid w:val="00CF038E"/>
    <w:rsid w:val="00CF3A7F"/>
    <w:rsid w:val="00CF7EC3"/>
    <w:rsid w:val="00D13E41"/>
    <w:rsid w:val="00D22CED"/>
    <w:rsid w:val="00D618F1"/>
    <w:rsid w:val="00D6477C"/>
    <w:rsid w:val="00D70BC3"/>
    <w:rsid w:val="00D72F92"/>
    <w:rsid w:val="00D8358B"/>
    <w:rsid w:val="00D8564D"/>
    <w:rsid w:val="00D85939"/>
    <w:rsid w:val="00D876F3"/>
    <w:rsid w:val="00DA5E20"/>
    <w:rsid w:val="00DB3CB8"/>
    <w:rsid w:val="00DE4BA6"/>
    <w:rsid w:val="00DF4B37"/>
    <w:rsid w:val="00DF6887"/>
    <w:rsid w:val="00E07AD4"/>
    <w:rsid w:val="00E213A4"/>
    <w:rsid w:val="00E2472A"/>
    <w:rsid w:val="00E278BA"/>
    <w:rsid w:val="00E47A5C"/>
    <w:rsid w:val="00E5110A"/>
    <w:rsid w:val="00E52B1F"/>
    <w:rsid w:val="00E569FD"/>
    <w:rsid w:val="00E83896"/>
    <w:rsid w:val="00E95F0C"/>
    <w:rsid w:val="00EB1828"/>
    <w:rsid w:val="00EB726B"/>
    <w:rsid w:val="00EC3743"/>
    <w:rsid w:val="00ED644E"/>
    <w:rsid w:val="00ED7704"/>
    <w:rsid w:val="00F040E2"/>
    <w:rsid w:val="00F13FD0"/>
    <w:rsid w:val="00F14E7D"/>
    <w:rsid w:val="00F1668A"/>
    <w:rsid w:val="00F50997"/>
    <w:rsid w:val="00F5658A"/>
    <w:rsid w:val="00F739AD"/>
    <w:rsid w:val="00F75815"/>
    <w:rsid w:val="00F97AAD"/>
    <w:rsid w:val="00FC4613"/>
    <w:rsid w:val="00FC4C3C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EF76B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531C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531C5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r-18u37iz">
    <w:name w:val="r-18u37iz"/>
    <w:basedOn w:val="Policepardfaut"/>
    <w:rsid w:val="0017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3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gogne-franche-comte.ars.sante.fr/media/96342/download?in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8D08-71D3-4642-9D61-14FE3164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4</cp:revision>
  <cp:lastPrinted>2022-05-20T15:23:00Z</cp:lastPrinted>
  <dcterms:created xsi:type="dcterms:W3CDTF">2022-06-28T09:42:00Z</dcterms:created>
  <dcterms:modified xsi:type="dcterms:W3CDTF">2022-06-28T09:49:00Z</dcterms:modified>
</cp:coreProperties>
</file>