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499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3"/>
        <w:gridCol w:w="4584"/>
        <w:gridCol w:w="2595"/>
      </w:tblGrid>
      <w:tr w:rsidR="00C45EFC" w:rsidRPr="00C45EFC" w:rsidTr="00C45EFC">
        <w:trPr>
          <w:trHeight w:val="532"/>
        </w:trPr>
        <w:tc>
          <w:tcPr>
            <w:tcW w:w="1017" w:type="pct"/>
            <w:vMerge w:val="restart"/>
            <w:vAlign w:val="center"/>
          </w:tcPr>
          <w:p w:rsidR="00C45EFC" w:rsidRPr="00C45EFC" w:rsidRDefault="00C45EFC" w:rsidP="00DE134C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C45EFC">
              <w:rPr>
                <w:rFonts w:ascii="Century Gothic" w:hAnsi="Century Gothic"/>
                <w:highlight w:val="lightGray"/>
              </w:rPr>
              <w:t>Logo EHPAD</w:t>
            </w:r>
          </w:p>
        </w:tc>
        <w:tc>
          <w:tcPr>
            <w:tcW w:w="2543" w:type="pct"/>
            <w:vMerge w:val="restart"/>
            <w:vAlign w:val="center"/>
          </w:tcPr>
          <w:p w:rsidR="00C45EFC" w:rsidRPr="00C45EFC" w:rsidRDefault="00C45EFC" w:rsidP="00DE134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C45EFC">
              <w:rPr>
                <w:rFonts w:ascii="Century Gothic" w:hAnsi="Century Gothic"/>
                <w:b/>
                <w:sz w:val="28"/>
              </w:rPr>
              <w:t xml:space="preserve">FICHE TECHNIQUE </w:t>
            </w:r>
            <w:r w:rsidR="00BE155F">
              <w:rPr>
                <w:rFonts w:ascii="Century Gothic" w:hAnsi="Century Gothic"/>
                <w:b/>
                <w:sz w:val="28"/>
              </w:rPr>
              <w:t>3</w:t>
            </w:r>
          </w:p>
          <w:p w:rsidR="00C45EFC" w:rsidRPr="00C45EFC" w:rsidRDefault="00BE155F" w:rsidP="00DE134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MISE EN PLACE</w:t>
            </w:r>
            <w:r w:rsidR="00C45EFC" w:rsidRPr="00C45EFC">
              <w:rPr>
                <w:rFonts w:ascii="Century Gothic" w:hAnsi="Century Gothic"/>
                <w:b/>
                <w:sz w:val="28"/>
              </w:rPr>
              <w:t xml:space="preserve"> DES DOTATIONS</w:t>
            </w:r>
          </w:p>
        </w:tc>
        <w:tc>
          <w:tcPr>
            <w:tcW w:w="1440" w:type="pct"/>
            <w:vAlign w:val="center"/>
          </w:tcPr>
          <w:p w:rsidR="00C45EFC" w:rsidRPr="00DA602F" w:rsidRDefault="00C45EFC" w:rsidP="00C45EFC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A602F">
              <w:rPr>
                <w:rFonts w:ascii="Century Gothic" w:hAnsi="Century Gothic"/>
              </w:rPr>
              <w:t xml:space="preserve">Référence : </w:t>
            </w:r>
            <w:r w:rsidRPr="00DA602F">
              <w:rPr>
                <w:rFonts w:ascii="Century Gothic" w:hAnsi="Century Gothic"/>
                <w:highlight w:val="lightGray"/>
              </w:rPr>
              <w:t>XXX</w:t>
            </w:r>
          </w:p>
        </w:tc>
      </w:tr>
      <w:tr w:rsidR="00C45EFC" w:rsidRPr="00C45EFC" w:rsidTr="00C45EFC">
        <w:trPr>
          <w:trHeight w:val="429"/>
        </w:trPr>
        <w:tc>
          <w:tcPr>
            <w:tcW w:w="1017" w:type="pct"/>
            <w:vMerge/>
            <w:vAlign w:val="center"/>
          </w:tcPr>
          <w:p w:rsidR="00C45EFC" w:rsidRPr="00C45EFC" w:rsidRDefault="00C45EFC" w:rsidP="00DE134C">
            <w:pPr>
              <w:rPr>
                <w:rFonts w:ascii="Century Gothic" w:hAnsi="Century Gothic"/>
              </w:rPr>
            </w:pPr>
          </w:p>
        </w:tc>
        <w:tc>
          <w:tcPr>
            <w:tcW w:w="2543" w:type="pct"/>
            <w:vMerge/>
            <w:vAlign w:val="center"/>
          </w:tcPr>
          <w:p w:rsidR="00C45EFC" w:rsidRPr="00C45EFC" w:rsidRDefault="00C45EFC" w:rsidP="00DE134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pct"/>
            <w:vAlign w:val="center"/>
          </w:tcPr>
          <w:p w:rsidR="00C45EFC" w:rsidRPr="00DA602F" w:rsidRDefault="00C45EFC" w:rsidP="00C45EFC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A602F">
              <w:rPr>
                <w:rFonts w:ascii="Century Gothic" w:hAnsi="Century Gothic"/>
              </w:rPr>
              <w:t xml:space="preserve">Date : </w:t>
            </w:r>
            <w:r w:rsidRPr="00DA602F">
              <w:rPr>
                <w:rFonts w:ascii="Century Gothic" w:hAnsi="Century Gothic"/>
                <w:highlight w:val="lightGray"/>
              </w:rPr>
              <w:t>XXX</w:t>
            </w:r>
          </w:p>
        </w:tc>
      </w:tr>
      <w:tr w:rsidR="00C45EFC" w:rsidRPr="00C45EFC" w:rsidTr="00C45EFC">
        <w:trPr>
          <w:trHeight w:val="46"/>
        </w:trPr>
        <w:tc>
          <w:tcPr>
            <w:tcW w:w="1017" w:type="pct"/>
            <w:vMerge/>
            <w:vAlign w:val="center"/>
          </w:tcPr>
          <w:p w:rsidR="00C45EFC" w:rsidRPr="00C45EFC" w:rsidRDefault="00C45EFC" w:rsidP="00DE134C">
            <w:pPr>
              <w:rPr>
                <w:rFonts w:ascii="Century Gothic" w:hAnsi="Century Gothic"/>
              </w:rPr>
            </w:pPr>
          </w:p>
        </w:tc>
        <w:tc>
          <w:tcPr>
            <w:tcW w:w="2543" w:type="pct"/>
            <w:vMerge/>
            <w:vAlign w:val="center"/>
          </w:tcPr>
          <w:p w:rsidR="00C45EFC" w:rsidRPr="00C45EFC" w:rsidRDefault="00C45EFC" w:rsidP="00DE134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440" w:type="pct"/>
            <w:vAlign w:val="center"/>
          </w:tcPr>
          <w:p w:rsidR="00C45EFC" w:rsidRPr="00DA602F" w:rsidRDefault="00C45EFC" w:rsidP="00C45EFC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A602F">
              <w:rPr>
                <w:rFonts w:ascii="Century Gothic" w:hAnsi="Century Gothic"/>
              </w:rPr>
              <w:t>Version : 1</w:t>
            </w:r>
          </w:p>
        </w:tc>
      </w:tr>
    </w:tbl>
    <w:p w:rsidR="00BE155F" w:rsidRDefault="00BE155F" w:rsidP="00BE155F">
      <w:pPr>
        <w:pStyle w:val="Paragraphedeliste"/>
        <w:jc w:val="both"/>
        <w:rPr>
          <w:rFonts w:ascii="Century Gothic" w:hAnsi="Century Gothic"/>
          <w:b/>
        </w:rPr>
      </w:pPr>
    </w:p>
    <w:p w:rsidR="00BE155F" w:rsidRPr="00AD0A2A" w:rsidRDefault="00BE155F" w:rsidP="00BE155F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Approvisionnement</w:t>
      </w:r>
    </w:p>
    <w:p w:rsidR="00BE155F" w:rsidRDefault="00BE155F" w:rsidP="00BE155F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L’approvisionnement se fait </w:t>
      </w:r>
      <w:r w:rsidRPr="00D749E7">
        <w:rPr>
          <w:rFonts w:ascii="Century Gothic" w:hAnsi="Century Gothic"/>
          <w:highlight w:val="lightGray"/>
        </w:rPr>
        <w:t xml:space="preserve">par la pharmacie </w:t>
      </w:r>
      <w:r w:rsidRPr="0081702D">
        <w:rPr>
          <w:rFonts w:ascii="Century Gothic" w:hAnsi="Century Gothic"/>
          <w:highlight w:val="lightGray"/>
        </w:rPr>
        <w:t>ayant conventionné avec l’établissement selon les modalités d’approvisionnement inscrites dans la convention</w:t>
      </w:r>
      <w:r>
        <w:rPr>
          <w:rFonts w:ascii="Century Gothic" w:hAnsi="Century Gothic"/>
          <w:highlight w:val="lightGray"/>
        </w:rPr>
        <w:t xml:space="preserve"> OU</w:t>
      </w:r>
      <w:r w:rsidRPr="0081702D">
        <w:rPr>
          <w:rFonts w:ascii="Century Gothic" w:hAnsi="Century Gothic"/>
          <w:highlight w:val="lightGray"/>
        </w:rPr>
        <w:t xml:space="preserve"> </w:t>
      </w:r>
      <w:r w:rsidRPr="00D749E7">
        <w:rPr>
          <w:rFonts w:ascii="Century Gothic" w:hAnsi="Century Gothic"/>
          <w:highlight w:val="lightGray"/>
        </w:rPr>
        <w:t xml:space="preserve">le pharmacien habituel de l’EHPAD après commande du médecin coordonnateur OU </w:t>
      </w:r>
      <w:r w:rsidRPr="0081702D">
        <w:rPr>
          <w:rFonts w:ascii="Century Gothic" w:hAnsi="Century Gothic"/>
          <w:highlight w:val="lightGray"/>
        </w:rPr>
        <w:t xml:space="preserve">par </w:t>
      </w:r>
      <w:r w:rsidRPr="00D749E7">
        <w:rPr>
          <w:rFonts w:ascii="Century Gothic" w:hAnsi="Century Gothic"/>
          <w:highlight w:val="lightGray"/>
        </w:rPr>
        <w:t>le pharmacien gérant la PUI.</w:t>
      </w:r>
    </w:p>
    <w:p w:rsidR="00BE155F" w:rsidRDefault="00BE155F" w:rsidP="00BE155F">
      <w:pPr>
        <w:ind w:firstLine="360"/>
        <w:jc w:val="both"/>
        <w:rPr>
          <w:rFonts w:ascii="Century Gothic" w:hAnsi="Century Gothic"/>
        </w:rPr>
      </w:pPr>
      <w:r w:rsidRPr="00845E9B">
        <w:rPr>
          <w:rFonts w:ascii="Century Gothic" w:hAnsi="Century Gothic"/>
        </w:rPr>
        <w:t>La facturation est établie à l’ordre d</w:t>
      </w:r>
      <w:r w:rsidRPr="00AD0A2A">
        <w:rPr>
          <w:rFonts w:ascii="Century Gothic" w:hAnsi="Century Gothic"/>
        </w:rPr>
        <w:t>e l’établissement.</w:t>
      </w:r>
    </w:p>
    <w:p w:rsidR="00BE155F" w:rsidRDefault="00BE155F" w:rsidP="00BE155F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À la réception les dates de péremptions sont vérifiées.</w:t>
      </w:r>
    </w:p>
    <w:p w:rsidR="00BE155F" w:rsidRPr="00AD0A2A" w:rsidRDefault="00BE155F" w:rsidP="00BE155F">
      <w:pPr>
        <w:ind w:firstLine="360"/>
        <w:jc w:val="both"/>
        <w:rPr>
          <w:rFonts w:ascii="Century Gothic" w:hAnsi="Century Gothic"/>
        </w:rPr>
      </w:pPr>
    </w:p>
    <w:p w:rsidR="00BE155F" w:rsidRPr="00AD0A2A" w:rsidRDefault="00BE155F" w:rsidP="00BE155F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Formalisation de</w:t>
      </w:r>
      <w:r>
        <w:rPr>
          <w:rFonts w:ascii="Century Gothic" w:hAnsi="Century Gothic"/>
          <w:b/>
        </w:rPr>
        <w:t>s</w:t>
      </w:r>
      <w:r w:rsidRPr="00AD0A2A">
        <w:rPr>
          <w:rFonts w:ascii="Century Gothic" w:hAnsi="Century Gothic"/>
          <w:b/>
        </w:rPr>
        <w:t xml:space="preserve"> prise</w:t>
      </w:r>
      <w:r>
        <w:rPr>
          <w:rFonts w:ascii="Century Gothic" w:hAnsi="Century Gothic"/>
          <w:b/>
        </w:rPr>
        <w:t>s</w:t>
      </w:r>
      <w:r w:rsidRPr="00AD0A2A">
        <w:rPr>
          <w:rFonts w:ascii="Century Gothic" w:hAnsi="Century Gothic"/>
          <w:b/>
        </w:rPr>
        <w:t xml:space="preserve"> en charge des urgences vitales</w:t>
      </w:r>
    </w:p>
    <w:p w:rsidR="00BE155F" w:rsidRDefault="00BE155F" w:rsidP="00BE155F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L’établissement </w:t>
      </w:r>
      <w:r>
        <w:rPr>
          <w:rFonts w:ascii="Century Gothic" w:hAnsi="Century Gothic"/>
        </w:rPr>
        <w:t xml:space="preserve">a </w:t>
      </w:r>
      <w:r w:rsidRPr="00AD0A2A">
        <w:rPr>
          <w:rFonts w:ascii="Century Gothic" w:hAnsi="Century Gothic"/>
        </w:rPr>
        <w:t>formalis</w:t>
      </w:r>
      <w:r>
        <w:rPr>
          <w:rFonts w:ascii="Century Gothic" w:hAnsi="Century Gothic"/>
        </w:rPr>
        <w:t>é</w:t>
      </w:r>
      <w:r w:rsidRPr="00AD0A2A">
        <w:rPr>
          <w:rFonts w:ascii="Century Gothic" w:hAnsi="Century Gothic"/>
        </w:rPr>
        <w:t xml:space="preserve"> dans des procédures décisionnelles</w:t>
      </w:r>
      <w:r>
        <w:rPr>
          <w:rFonts w:ascii="Century Gothic" w:hAnsi="Century Gothic"/>
        </w:rPr>
        <w:t xml:space="preserve"> (</w:t>
      </w:r>
      <w:r w:rsidRPr="00572C3F">
        <w:rPr>
          <w:rFonts w:ascii="Century Gothic" w:hAnsi="Century Gothic"/>
          <w:highlight w:val="lightGray"/>
        </w:rPr>
        <w:t>référence : ……)</w:t>
      </w:r>
      <w:r w:rsidRPr="00AD0A2A">
        <w:rPr>
          <w:rFonts w:ascii="Century Gothic" w:hAnsi="Century Gothic"/>
        </w:rPr>
        <w:t xml:space="preserve"> l’appréciation du contexte clinique d’urgence vitale, les réponses thérapeutiques de type réflexe à apporter devant chaque contexte d’urgence vitale, et les professionnels autorisés à les apporter.</w:t>
      </w:r>
    </w:p>
    <w:p w:rsidR="00BE155F" w:rsidRPr="00AD0A2A" w:rsidRDefault="00BE155F" w:rsidP="00BE155F">
      <w:pPr>
        <w:ind w:firstLine="360"/>
        <w:jc w:val="both"/>
        <w:rPr>
          <w:rFonts w:ascii="Century Gothic" w:hAnsi="Century Gothic"/>
        </w:rPr>
      </w:pPr>
    </w:p>
    <w:p w:rsidR="00BE155F" w:rsidRPr="00AD0A2A" w:rsidRDefault="00BE155F" w:rsidP="00BE155F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Formation à l’utilisation de la dotation pour urgences vitales</w:t>
      </w:r>
    </w:p>
    <w:p w:rsidR="00BE155F" w:rsidRPr="00AD0A2A" w:rsidRDefault="00BE155F" w:rsidP="00BE155F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Sur la base des procédures formalisées pour la prise en charge des urgences vitales, les professionnels </w:t>
      </w:r>
      <w:r w:rsidR="00457B4C">
        <w:rPr>
          <w:rFonts w:ascii="Century Gothic" w:hAnsi="Century Gothic"/>
        </w:rPr>
        <w:t xml:space="preserve">paramédicaux </w:t>
      </w:r>
      <w:r w:rsidRPr="00AD0A2A">
        <w:rPr>
          <w:rFonts w:ascii="Century Gothic" w:hAnsi="Century Gothic"/>
        </w:rPr>
        <w:t>concernés sont formés à :</w:t>
      </w:r>
    </w:p>
    <w:p w:rsidR="00BE155F" w:rsidRPr="00AD0A2A" w:rsidRDefault="00BE155F" w:rsidP="00BE155F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L’appréciation du contexte clinique,</w:t>
      </w:r>
    </w:p>
    <w:p w:rsidR="00BE155F" w:rsidRPr="00AD0A2A" w:rsidRDefault="00BE155F" w:rsidP="00BE155F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La réponse thérapeutique de type réflexe à apporter :</w:t>
      </w:r>
    </w:p>
    <w:p w:rsidR="00BE155F" w:rsidRPr="00AD0A2A" w:rsidRDefault="00BE155F" w:rsidP="00BE155F">
      <w:pPr>
        <w:pStyle w:val="Paragraphedeliste"/>
        <w:numPr>
          <w:ilvl w:val="2"/>
          <w:numId w:val="6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Modalités d’utilis</w:t>
      </w:r>
      <w:r w:rsidR="00457B4C">
        <w:rPr>
          <w:rFonts w:ascii="Century Gothic" w:hAnsi="Century Gothic"/>
        </w:rPr>
        <w:t>ation des dispositifs médicaux le cas échéant,</w:t>
      </w:r>
    </w:p>
    <w:p w:rsidR="00BE155F" w:rsidRPr="00AD0A2A" w:rsidRDefault="00BE155F" w:rsidP="00BE155F">
      <w:pPr>
        <w:pStyle w:val="Paragraphedeliste"/>
        <w:numPr>
          <w:ilvl w:val="2"/>
          <w:numId w:val="6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Modalités de préparation et d’administration des médicaments,</w:t>
      </w:r>
    </w:p>
    <w:p w:rsidR="00BE155F" w:rsidRDefault="00BE155F" w:rsidP="00BE155F">
      <w:pPr>
        <w:pStyle w:val="Paragraphedeliste"/>
        <w:numPr>
          <w:ilvl w:val="1"/>
          <w:numId w:val="4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La traçabilité de cette utilisation.</w:t>
      </w:r>
    </w:p>
    <w:p w:rsidR="00BE155F" w:rsidRPr="00AD0A2A" w:rsidRDefault="00BE155F" w:rsidP="00BE155F">
      <w:pPr>
        <w:pStyle w:val="Paragraphedeliste"/>
        <w:ind w:left="1440"/>
        <w:jc w:val="both"/>
        <w:rPr>
          <w:rFonts w:ascii="Century Gothic" w:hAnsi="Century Gothic"/>
        </w:rPr>
      </w:pPr>
    </w:p>
    <w:p w:rsidR="00BE155F" w:rsidRPr="00AD0A2A" w:rsidRDefault="00BE155F" w:rsidP="00BE155F">
      <w:pPr>
        <w:ind w:firstLine="426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Cette formation est </w:t>
      </w:r>
      <w:r w:rsidRPr="00BE155F">
        <w:rPr>
          <w:rFonts w:ascii="Century Gothic" w:hAnsi="Century Gothic"/>
          <w:u w:val="single"/>
        </w:rPr>
        <w:t>obligatoire</w:t>
      </w:r>
      <w:r w:rsidRPr="00BE155F">
        <w:rPr>
          <w:rFonts w:ascii="Century Gothic" w:hAnsi="Century Gothic"/>
        </w:rPr>
        <w:t xml:space="preserve"> pour tous les agents concernés,</w:t>
      </w:r>
      <w:r>
        <w:rPr>
          <w:rFonts w:ascii="Century Gothic" w:hAnsi="Century Gothic"/>
        </w:rPr>
        <w:t xml:space="preserve"> </w:t>
      </w:r>
      <w:r w:rsidRPr="00BE155F">
        <w:rPr>
          <w:rFonts w:ascii="Century Gothic" w:hAnsi="Century Gothic"/>
          <w:highlight w:val="lightGray"/>
        </w:rPr>
        <w:t>à savoir ……………………………………………………..</w:t>
      </w:r>
      <w:r w:rsidRPr="00AD0A2A">
        <w:rPr>
          <w:rFonts w:ascii="Century Gothic" w:hAnsi="Century Gothic"/>
        </w:rPr>
        <w:t xml:space="preserve">, et elle est renouvelée </w:t>
      </w:r>
      <w:r>
        <w:rPr>
          <w:rFonts w:ascii="Century Gothic" w:hAnsi="Century Gothic"/>
        </w:rPr>
        <w:t xml:space="preserve">tous les </w:t>
      </w:r>
      <w:r w:rsidRPr="00BE155F">
        <w:rPr>
          <w:rFonts w:ascii="Century Gothic" w:hAnsi="Century Gothic"/>
          <w:highlight w:val="lightGray"/>
        </w:rPr>
        <w:t>…………….ans/mois</w:t>
      </w:r>
      <w:r>
        <w:rPr>
          <w:rFonts w:ascii="Century Gothic" w:hAnsi="Century Gothic"/>
        </w:rPr>
        <w:t>.</w:t>
      </w:r>
    </w:p>
    <w:p w:rsidR="00BE155F" w:rsidRDefault="00BE155F" w:rsidP="00BE155F">
      <w:pPr>
        <w:ind w:firstLine="360"/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>Cette formation ne dispense pas d’une formation générale à la prise en charge des urgences vitales.</w:t>
      </w:r>
    </w:p>
    <w:p w:rsidR="00774D03" w:rsidRDefault="00774D03" w:rsidP="00BE155F">
      <w:pPr>
        <w:pStyle w:val="Paragraphedeliste"/>
        <w:jc w:val="both"/>
      </w:pPr>
      <w:bookmarkStart w:id="0" w:name="_GoBack"/>
      <w:bookmarkEnd w:id="0"/>
    </w:p>
    <w:sectPr w:rsidR="00774D03" w:rsidSect="00774D03">
      <w:headerReference w:type="default" r:id="rId7"/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72B" w:rsidRDefault="002C672B" w:rsidP="00C45EFC">
      <w:pPr>
        <w:spacing w:after="0" w:line="240" w:lineRule="auto"/>
      </w:pPr>
      <w:r>
        <w:separator/>
      </w:r>
    </w:p>
  </w:endnote>
  <w:endnote w:type="continuationSeparator" w:id="0">
    <w:p w:rsidR="002C672B" w:rsidRDefault="002C672B" w:rsidP="00C4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FC" w:rsidRPr="00DA602F" w:rsidRDefault="00C9556F">
    <w:pPr>
      <w:pStyle w:val="Pieddepage"/>
      <w:rPr>
        <w:color w:val="A6A6A6" w:themeColor="background1" w:themeShade="A6"/>
      </w:rPr>
    </w:pPr>
    <w:r>
      <w:rPr>
        <w:color w:val="A6A6A6" w:themeColor="background1" w:themeShade="A6"/>
      </w:rPr>
      <w:t>DOTATIONS  POUR SOINS URGENTS</w:t>
    </w:r>
    <w:r w:rsidR="005E4D25" w:rsidRPr="00DA602F">
      <w:rPr>
        <w:color w:val="A6A6A6" w:themeColor="background1" w:themeShade="A6"/>
      </w:rPr>
      <w:t xml:space="preserve"> –</w:t>
    </w:r>
    <w:r>
      <w:rPr>
        <w:color w:val="A6A6A6" w:themeColor="background1" w:themeShade="A6"/>
      </w:rPr>
      <w:t xml:space="preserve"> trame</w:t>
    </w:r>
    <w:r w:rsidR="00DA602F" w:rsidRPr="00DA602F">
      <w:rPr>
        <w:color w:val="A6A6A6" w:themeColor="background1" w:themeShade="A6"/>
      </w:rPr>
      <w:t xml:space="preserve"> </w:t>
    </w:r>
    <w:r w:rsidR="00DA602F" w:rsidRPr="00DA602F">
      <w:rPr>
        <w:noProof/>
        <w:color w:val="A6A6A6" w:themeColor="background1" w:themeShade="A6"/>
        <w:lang w:eastAsia="fr-FR"/>
      </w:rPr>
      <w:drawing>
        <wp:inline distT="0" distB="0" distL="0" distR="0" wp14:anchorId="5AC251D3" wp14:editId="6BC9F992">
          <wp:extent cx="495300" cy="36373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obs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63" cy="37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D25" w:rsidRPr="00DA602F">
      <w:rPr>
        <w:color w:val="A6A6A6" w:themeColor="background1" w:themeShade="A6"/>
      </w:rPr>
      <w:t xml:space="preserve">  </w:t>
    </w:r>
    <w:r w:rsidR="00DA602F" w:rsidRPr="00DA602F">
      <w:rPr>
        <w:color w:val="A6A6A6" w:themeColor="background1" w:themeShade="A6"/>
      </w:rPr>
      <w:t xml:space="preserve">&amp; </w:t>
    </w:r>
    <w:r w:rsidR="004304B2" w:rsidRPr="00DA602F">
      <w:rPr>
        <w:noProof/>
        <w:color w:val="A6A6A6" w:themeColor="background1" w:themeShade="A6"/>
        <w:lang w:eastAsia="fr-FR"/>
      </w:rPr>
      <w:drawing>
        <wp:inline distT="0" distB="0" distL="0" distR="0" wp14:anchorId="3E7841C9" wp14:editId="26809DA7">
          <wp:extent cx="609600" cy="146304"/>
          <wp:effectExtent l="0" t="0" r="0" b="6350"/>
          <wp:docPr id="1" name="Image 1" descr="R:\16 - CHARTE GRAPHIQUE\Logo\Logo REQUAS\ReQuaS-Logo-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6 - CHARTE GRAPHIQUE\Logo\Logo REQUAS\ReQuaS-Logo-Pet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22" cy="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6A6A6" w:themeColor="background1" w:themeShade="A6"/>
      </w:rPr>
      <w:t xml:space="preserve"> </w:t>
    </w:r>
    <w:r w:rsidR="001657C7">
      <w:rPr>
        <w:color w:val="A6A6A6" w:themeColor="background1" w:themeShade="A6"/>
      </w:rPr>
      <w:t>– V2016/07/13</w:t>
    </w:r>
    <w:r w:rsidR="005E4D25" w:rsidRPr="00DA602F">
      <w:rPr>
        <w:color w:val="A6A6A6" w:themeColor="background1" w:themeShade="A6"/>
      </w:rPr>
      <w:ptab w:relativeTo="margin" w:alignment="right" w:leader="none"/>
    </w:r>
    <w:r w:rsidR="005E4D25" w:rsidRPr="00DA602F">
      <w:rPr>
        <w:color w:val="A6A6A6" w:themeColor="background1" w:themeShade="A6"/>
      </w:rPr>
      <w:t xml:space="preserve">Page </w:t>
    </w:r>
    <w:r w:rsidR="005E4D25" w:rsidRPr="00DA602F">
      <w:rPr>
        <w:b/>
        <w:bCs/>
        <w:color w:val="A6A6A6" w:themeColor="background1" w:themeShade="A6"/>
      </w:rPr>
      <w:fldChar w:fldCharType="begin"/>
    </w:r>
    <w:r w:rsidR="005E4D25" w:rsidRPr="00DA602F">
      <w:rPr>
        <w:b/>
        <w:bCs/>
        <w:color w:val="A6A6A6" w:themeColor="background1" w:themeShade="A6"/>
      </w:rPr>
      <w:instrText>PAGE  \* Arabic  \* MERGEFORMAT</w:instrText>
    </w:r>
    <w:r w:rsidR="005E4D25" w:rsidRPr="00DA602F">
      <w:rPr>
        <w:b/>
        <w:bCs/>
        <w:color w:val="A6A6A6" w:themeColor="background1" w:themeShade="A6"/>
      </w:rPr>
      <w:fldChar w:fldCharType="separate"/>
    </w:r>
    <w:r w:rsidR="001657C7">
      <w:rPr>
        <w:b/>
        <w:bCs/>
        <w:noProof/>
        <w:color w:val="A6A6A6" w:themeColor="background1" w:themeShade="A6"/>
      </w:rPr>
      <w:t>1</w:t>
    </w:r>
    <w:r w:rsidR="005E4D25" w:rsidRPr="00DA602F">
      <w:rPr>
        <w:b/>
        <w:bCs/>
        <w:color w:val="A6A6A6" w:themeColor="background1" w:themeShade="A6"/>
      </w:rPr>
      <w:fldChar w:fldCharType="end"/>
    </w:r>
    <w:r w:rsidR="005E4D25" w:rsidRPr="00DA602F">
      <w:rPr>
        <w:color w:val="A6A6A6" w:themeColor="background1" w:themeShade="A6"/>
      </w:rPr>
      <w:t xml:space="preserve"> sur </w:t>
    </w:r>
    <w:r w:rsidR="005E4D25" w:rsidRPr="00DA602F">
      <w:rPr>
        <w:b/>
        <w:bCs/>
        <w:color w:val="A6A6A6" w:themeColor="background1" w:themeShade="A6"/>
      </w:rPr>
      <w:fldChar w:fldCharType="begin"/>
    </w:r>
    <w:r w:rsidR="005E4D25" w:rsidRPr="00DA602F">
      <w:rPr>
        <w:b/>
        <w:bCs/>
        <w:color w:val="A6A6A6" w:themeColor="background1" w:themeShade="A6"/>
      </w:rPr>
      <w:instrText>NUMPAGES  \* Arabic  \* MERGEFORMAT</w:instrText>
    </w:r>
    <w:r w:rsidR="005E4D25" w:rsidRPr="00DA602F">
      <w:rPr>
        <w:b/>
        <w:bCs/>
        <w:color w:val="A6A6A6" w:themeColor="background1" w:themeShade="A6"/>
      </w:rPr>
      <w:fldChar w:fldCharType="separate"/>
    </w:r>
    <w:r w:rsidR="001657C7">
      <w:rPr>
        <w:b/>
        <w:bCs/>
        <w:noProof/>
        <w:color w:val="A6A6A6" w:themeColor="background1" w:themeShade="A6"/>
      </w:rPr>
      <w:t>1</w:t>
    </w:r>
    <w:r w:rsidR="005E4D25" w:rsidRPr="00DA602F">
      <w:rPr>
        <w:b/>
        <w:bCs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72B" w:rsidRDefault="002C672B" w:rsidP="00C45EFC">
      <w:pPr>
        <w:spacing w:after="0" w:line="240" w:lineRule="auto"/>
      </w:pPr>
      <w:r>
        <w:separator/>
      </w:r>
    </w:p>
  </w:footnote>
  <w:footnote w:type="continuationSeparator" w:id="0">
    <w:p w:rsidR="002C672B" w:rsidRDefault="002C672B" w:rsidP="00C4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FC" w:rsidRDefault="00C45EFC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67C1"/>
    <w:multiLevelType w:val="hybridMultilevel"/>
    <w:tmpl w:val="5240D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5947"/>
    <w:multiLevelType w:val="hybridMultilevel"/>
    <w:tmpl w:val="86F60C9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C6940"/>
    <w:multiLevelType w:val="hybridMultilevel"/>
    <w:tmpl w:val="2506C15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2B6F3E"/>
    <w:multiLevelType w:val="hybridMultilevel"/>
    <w:tmpl w:val="FC3AE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2F88"/>
    <w:multiLevelType w:val="hybridMultilevel"/>
    <w:tmpl w:val="30B2A58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00182"/>
    <w:multiLevelType w:val="hybridMultilevel"/>
    <w:tmpl w:val="C17C3D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D7B"/>
    <w:multiLevelType w:val="hybridMultilevel"/>
    <w:tmpl w:val="A0B6D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FC"/>
    <w:rsid w:val="000F5583"/>
    <w:rsid w:val="001657C7"/>
    <w:rsid w:val="00263F1E"/>
    <w:rsid w:val="002C672B"/>
    <w:rsid w:val="004304B2"/>
    <w:rsid w:val="00457B4C"/>
    <w:rsid w:val="005E4D25"/>
    <w:rsid w:val="00774D03"/>
    <w:rsid w:val="00776CD6"/>
    <w:rsid w:val="00AB4950"/>
    <w:rsid w:val="00BE155F"/>
    <w:rsid w:val="00C45EFC"/>
    <w:rsid w:val="00C9556F"/>
    <w:rsid w:val="00DA602F"/>
    <w:rsid w:val="00F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246F1"/>
  <w15:docId w15:val="{6EE673E0-C9C1-4BC3-8E48-25BC43FA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E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5E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EFC"/>
  </w:style>
  <w:style w:type="paragraph" w:styleId="Pieddepage">
    <w:name w:val="footer"/>
    <w:basedOn w:val="Normal"/>
    <w:link w:val="PieddepageCar"/>
    <w:uiPriority w:val="99"/>
    <w:unhideWhenUsed/>
    <w:rsid w:val="00C4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EFC"/>
  </w:style>
  <w:style w:type="paragraph" w:styleId="Textedebulles">
    <w:name w:val="Balloon Text"/>
    <w:basedOn w:val="Normal"/>
    <w:link w:val="TextedebullesCar"/>
    <w:uiPriority w:val="99"/>
    <w:semiHidden/>
    <w:unhideWhenUsed/>
    <w:rsid w:val="00C4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E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4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DUCHENE</dc:creator>
  <cp:lastModifiedBy>Bryan WELTER</cp:lastModifiedBy>
  <cp:revision>5</cp:revision>
  <dcterms:created xsi:type="dcterms:W3CDTF">2016-06-09T07:54:00Z</dcterms:created>
  <dcterms:modified xsi:type="dcterms:W3CDTF">2016-07-13T13:40:00Z</dcterms:modified>
</cp:coreProperties>
</file>